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E913C0" w14:textId="60676A15" w:rsidR="00020CFB" w:rsidRDefault="00020CFB" w:rsidP="00020CFB"/>
    <w:tbl>
      <w:tblPr>
        <w:tblW w:w="12343" w:type="dxa"/>
        <w:tblInd w:w="-10" w:type="dxa"/>
        <w:tblLook w:val="04A0" w:firstRow="1" w:lastRow="0" w:firstColumn="1" w:lastColumn="0" w:noHBand="0" w:noVBand="1"/>
      </w:tblPr>
      <w:tblGrid>
        <w:gridCol w:w="1397"/>
        <w:gridCol w:w="1548"/>
        <w:gridCol w:w="1736"/>
        <w:gridCol w:w="1503"/>
        <w:gridCol w:w="1230"/>
        <w:gridCol w:w="1110"/>
        <w:gridCol w:w="1167"/>
        <w:gridCol w:w="1256"/>
        <w:gridCol w:w="1396"/>
      </w:tblGrid>
      <w:tr w:rsidR="00020CFB" w:rsidRPr="00020CFB" w14:paraId="720818C7" w14:textId="77777777" w:rsidTr="00843255">
        <w:trPr>
          <w:trHeight w:val="780"/>
          <w:tblHeader/>
        </w:trPr>
        <w:tc>
          <w:tcPr>
            <w:tcW w:w="1397"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74EEA69F" w14:textId="77777777" w:rsidR="00020CFB" w:rsidRPr="00020CFB" w:rsidRDefault="00020CFB" w:rsidP="00020CFB">
            <w:pPr>
              <w:rPr>
                <w:rFonts w:ascii="Calibri" w:eastAsia="Times New Roman" w:hAnsi="Calibri" w:cs="Calibri"/>
                <w:b/>
                <w:bCs/>
                <w:color w:val="000000"/>
                <w:sz w:val="18"/>
                <w:szCs w:val="18"/>
                <w:lang w:eastAsia="en-GB"/>
              </w:rPr>
            </w:pPr>
            <w:r w:rsidRPr="00020CFB">
              <w:rPr>
                <w:rFonts w:ascii="Calibri" w:eastAsia="Times New Roman" w:hAnsi="Calibri" w:cs="Calibri"/>
                <w:b/>
                <w:bCs/>
                <w:color w:val="000000"/>
                <w:sz w:val="18"/>
                <w:szCs w:val="18"/>
                <w:lang w:val="en-US" w:eastAsia="en-GB"/>
              </w:rPr>
              <w:t>ISSUES</w:t>
            </w:r>
          </w:p>
        </w:tc>
        <w:tc>
          <w:tcPr>
            <w:tcW w:w="1548"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027B1395" w14:textId="77777777" w:rsidR="00020CFB" w:rsidRPr="00020CFB" w:rsidRDefault="00020CFB" w:rsidP="00020CFB">
            <w:pPr>
              <w:rPr>
                <w:rFonts w:ascii="Calibri" w:eastAsia="Times New Roman" w:hAnsi="Calibri" w:cs="Calibri"/>
                <w:b/>
                <w:bCs/>
                <w:color w:val="000000"/>
                <w:sz w:val="18"/>
                <w:szCs w:val="18"/>
                <w:lang w:eastAsia="en-GB"/>
              </w:rPr>
            </w:pPr>
            <w:r w:rsidRPr="00020CFB">
              <w:rPr>
                <w:rFonts w:ascii="Calibri" w:eastAsia="Times New Roman" w:hAnsi="Calibri" w:cs="Calibri"/>
                <w:b/>
                <w:bCs/>
                <w:color w:val="000000"/>
                <w:sz w:val="18"/>
                <w:szCs w:val="18"/>
                <w:lang w:val="en-US" w:eastAsia="en-GB"/>
              </w:rPr>
              <w:t>PLANNED MITIGATION PLAN/ACTION</w:t>
            </w:r>
          </w:p>
        </w:tc>
        <w:tc>
          <w:tcPr>
            <w:tcW w:w="1736"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65B7EB2F" w14:textId="77777777" w:rsidR="00020CFB" w:rsidRPr="00020CFB" w:rsidRDefault="00020CFB" w:rsidP="00020CFB">
            <w:pPr>
              <w:rPr>
                <w:rFonts w:ascii="Calibri" w:eastAsia="Times New Roman" w:hAnsi="Calibri" w:cs="Calibri"/>
                <w:b/>
                <w:bCs/>
                <w:color w:val="000000"/>
                <w:sz w:val="18"/>
                <w:szCs w:val="18"/>
                <w:lang w:val="en-US" w:eastAsia="en-GB"/>
              </w:rPr>
            </w:pPr>
            <w:r w:rsidRPr="00020CFB">
              <w:rPr>
                <w:rFonts w:ascii="Calibri" w:eastAsia="Times New Roman" w:hAnsi="Calibri" w:cs="Calibri"/>
                <w:b/>
                <w:bCs/>
                <w:color w:val="000000"/>
                <w:sz w:val="18"/>
                <w:szCs w:val="18"/>
                <w:lang w:val="en-US" w:eastAsia="en-GB"/>
              </w:rPr>
              <w:t xml:space="preserve">ESTIMATED </w:t>
            </w:r>
          </w:p>
          <w:p w14:paraId="46AAEB4F" w14:textId="5B91069F" w:rsidR="00020CFB" w:rsidRPr="00020CFB" w:rsidRDefault="00020CFB" w:rsidP="00020CFB">
            <w:pPr>
              <w:rPr>
                <w:rFonts w:ascii="Calibri" w:eastAsia="Times New Roman" w:hAnsi="Calibri" w:cs="Calibri"/>
                <w:b/>
                <w:bCs/>
                <w:color w:val="000000"/>
                <w:sz w:val="18"/>
                <w:szCs w:val="18"/>
                <w:lang w:val="en-US" w:eastAsia="en-GB"/>
              </w:rPr>
            </w:pPr>
            <w:r w:rsidRPr="00020CFB">
              <w:rPr>
                <w:rFonts w:ascii="Calibri" w:eastAsia="Times New Roman" w:hAnsi="Calibri" w:cs="Calibri"/>
                <w:b/>
                <w:bCs/>
                <w:color w:val="000000"/>
                <w:sz w:val="18"/>
                <w:szCs w:val="18"/>
                <w:lang w:val="en-US" w:eastAsia="en-GB"/>
              </w:rPr>
              <w:t>TIME</w:t>
            </w:r>
          </w:p>
        </w:tc>
        <w:tc>
          <w:tcPr>
            <w:tcW w:w="1503"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261207AD" w14:textId="77777777" w:rsidR="00020CFB" w:rsidRPr="00020CFB" w:rsidRDefault="00020CFB" w:rsidP="00020CFB">
            <w:pPr>
              <w:rPr>
                <w:rFonts w:ascii="Calibri" w:eastAsia="Times New Roman" w:hAnsi="Calibri" w:cs="Calibri"/>
                <w:b/>
                <w:bCs/>
                <w:color w:val="000000"/>
                <w:sz w:val="18"/>
                <w:szCs w:val="18"/>
                <w:lang w:eastAsia="en-GB"/>
              </w:rPr>
            </w:pPr>
            <w:r w:rsidRPr="00020CFB">
              <w:rPr>
                <w:rFonts w:ascii="Calibri" w:eastAsia="Times New Roman" w:hAnsi="Calibri" w:cs="Calibri"/>
                <w:b/>
                <w:bCs/>
                <w:color w:val="000000"/>
                <w:sz w:val="18"/>
                <w:szCs w:val="18"/>
                <w:lang w:val="en-US" w:eastAsia="en-GB"/>
              </w:rPr>
              <w:t>STATUS AND PROGRESS</w:t>
            </w:r>
          </w:p>
        </w:tc>
        <w:tc>
          <w:tcPr>
            <w:tcW w:w="1230"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1CBD3764" w14:textId="7A318257" w:rsidR="00020CFB" w:rsidRPr="00020CFB" w:rsidRDefault="00020CFB" w:rsidP="00020CFB">
            <w:pPr>
              <w:rPr>
                <w:rFonts w:ascii="Calibri" w:eastAsia="Times New Roman" w:hAnsi="Calibri" w:cs="Calibri"/>
                <w:b/>
                <w:bCs/>
                <w:color w:val="000000"/>
                <w:sz w:val="18"/>
                <w:szCs w:val="18"/>
                <w:lang w:eastAsia="en-GB"/>
              </w:rPr>
            </w:pPr>
            <w:r w:rsidRPr="00020CFB">
              <w:rPr>
                <w:rFonts w:ascii="Calibri" w:eastAsia="Times New Roman" w:hAnsi="Calibri" w:cs="Calibri"/>
                <w:b/>
                <w:bCs/>
                <w:color w:val="000000"/>
                <w:sz w:val="18"/>
                <w:szCs w:val="18"/>
                <w:lang w:val="en-US" w:eastAsia="en-GB"/>
              </w:rPr>
              <w:t>Roles and responsibility</w:t>
            </w:r>
          </w:p>
        </w:tc>
        <w:tc>
          <w:tcPr>
            <w:tcW w:w="1110"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2202AC01" w14:textId="77777777" w:rsidR="00020CFB" w:rsidRPr="00020CFB" w:rsidRDefault="00020CFB" w:rsidP="00020CFB">
            <w:pPr>
              <w:rPr>
                <w:rFonts w:ascii="Calibri" w:eastAsia="Times New Roman" w:hAnsi="Calibri" w:cs="Calibri"/>
                <w:b/>
                <w:bCs/>
                <w:color w:val="000000"/>
                <w:sz w:val="18"/>
                <w:szCs w:val="18"/>
                <w:lang w:eastAsia="en-GB"/>
              </w:rPr>
            </w:pPr>
            <w:r w:rsidRPr="00020CFB">
              <w:rPr>
                <w:rFonts w:ascii="Calibri" w:eastAsia="Times New Roman" w:hAnsi="Calibri" w:cs="Calibri"/>
                <w:b/>
                <w:bCs/>
                <w:color w:val="000000"/>
                <w:sz w:val="18"/>
                <w:szCs w:val="18"/>
                <w:lang w:val="en-US" w:eastAsia="en-GB"/>
              </w:rPr>
              <w:t xml:space="preserve">Resources </w:t>
            </w:r>
          </w:p>
        </w:tc>
        <w:tc>
          <w:tcPr>
            <w:tcW w:w="1167"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5B8D7070" w14:textId="77777777" w:rsidR="00020CFB" w:rsidRPr="00020CFB" w:rsidRDefault="00020CFB" w:rsidP="00020CFB">
            <w:pPr>
              <w:rPr>
                <w:rFonts w:ascii="Calibri" w:eastAsia="Times New Roman" w:hAnsi="Calibri" w:cs="Calibri"/>
                <w:b/>
                <w:bCs/>
                <w:color w:val="000000"/>
                <w:sz w:val="18"/>
                <w:szCs w:val="18"/>
                <w:lang w:eastAsia="en-GB"/>
              </w:rPr>
            </w:pPr>
            <w:r w:rsidRPr="00020CFB">
              <w:rPr>
                <w:rFonts w:ascii="Calibri" w:eastAsia="Times New Roman" w:hAnsi="Calibri" w:cs="Calibri"/>
                <w:b/>
                <w:bCs/>
                <w:color w:val="000000"/>
                <w:sz w:val="18"/>
                <w:szCs w:val="18"/>
                <w:lang w:val="en-US" w:eastAsia="en-GB"/>
              </w:rPr>
              <w:t>Potential risks and Mitigation</w:t>
            </w:r>
          </w:p>
        </w:tc>
        <w:tc>
          <w:tcPr>
            <w:tcW w:w="1256"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5C1F5CDE" w14:textId="77777777" w:rsidR="00020CFB" w:rsidRPr="00020CFB" w:rsidRDefault="00020CFB" w:rsidP="00020CFB">
            <w:pPr>
              <w:rPr>
                <w:rFonts w:ascii="Calibri" w:eastAsia="Times New Roman" w:hAnsi="Calibri" w:cs="Calibri"/>
                <w:b/>
                <w:bCs/>
                <w:color w:val="000000"/>
                <w:sz w:val="18"/>
                <w:szCs w:val="18"/>
                <w:lang w:eastAsia="en-GB"/>
              </w:rPr>
            </w:pPr>
            <w:r w:rsidRPr="00020CFB">
              <w:rPr>
                <w:rFonts w:ascii="Calibri" w:eastAsia="Times New Roman" w:hAnsi="Calibri" w:cs="Calibri"/>
                <w:b/>
                <w:bCs/>
                <w:color w:val="000000"/>
                <w:sz w:val="18"/>
                <w:szCs w:val="18"/>
                <w:lang w:val="en-US" w:eastAsia="en-GB"/>
              </w:rPr>
              <w:t>KPIs</w:t>
            </w:r>
          </w:p>
        </w:tc>
        <w:tc>
          <w:tcPr>
            <w:tcW w:w="1396" w:type="dxa"/>
            <w:vMerge w:val="restart"/>
            <w:tcBorders>
              <w:top w:val="single" w:sz="8" w:space="0" w:color="auto"/>
              <w:left w:val="single" w:sz="8" w:space="0" w:color="auto"/>
              <w:bottom w:val="single" w:sz="8" w:space="0" w:color="000000"/>
              <w:right w:val="single" w:sz="8" w:space="0" w:color="auto"/>
            </w:tcBorders>
            <w:shd w:val="clear" w:color="auto" w:fill="E7E6E6" w:themeFill="background2"/>
            <w:hideMark/>
          </w:tcPr>
          <w:p w14:paraId="3A3A84DE" w14:textId="77777777" w:rsidR="00020CFB" w:rsidRPr="00020CFB" w:rsidRDefault="00020CFB" w:rsidP="00020CFB">
            <w:pPr>
              <w:rPr>
                <w:rFonts w:ascii="Calibri" w:eastAsia="Times New Roman" w:hAnsi="Calibri" w:cs="Calibri"/>
                <w:b/>
                <w:bCs/>
                <w:color w:val="000000"/>
                <w:sz w:val="18"/>
                <w:szCs w:val="18"/>
                <w:lang w:eastAsia="en-GB"/>
              </w:rPr>
            </w:pPr>
            <w:r w:rsidRPr="00020CFB">
              <w:rPr>
                <w:rFonts w:ascii="Calibri" w:eastAsia="Times New Roman" w:hAnsi="Calibri" w:cs="Calibri"/>
                <w:b/>
                <w:bCs/>
                <w:color w:val="000000"/>
                <w:sz w:val="18"/>
                <w:szCs w:val="18"/>
                <w:lang w:val="en-US" w:eastAsia="en-GB"/>
              </w:rPr>
              <w:t>Participatory process</w:t>
            </w:r>
          </w:p>
        </w:tc>
      </w:tr>
      <w:tr w:rsidR="00020CFB" w:rsidRPr="00020CFB" w14:paraId="02D5F556" w14:textId="77777777" w:rsidTr="00843255">
        <w:trPr>
          <w:trHeight w:val="293"/>
          <w:tblHeader/>
        </w:trPr>
        <w:tc>
          <w:tcPr>
            <w:tcW w:w="1397"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3F2F18FC" w14:textId="77777777" w:rsidR="00020CFB" w:rsidRPr="00020CFB" w:rsidRDefault="00020CFB" w:rsidP="00020CFB">
            <w:pPr>
              <w:rPr>
                <w:rFonts w:ascii="Calibri" w:eastAsia="Times New Roman" w:hAnsi="Calibri" w:cs="Calibri"/>
                <w:color w:val="000000"/>
                <w:sz w:val="18"/>
                <w:szCs w:val="18"/>
                <w:lang w:eastAsia="en-GB"/>
              </w:rPr>
            </w:pPr>
          </w:p>
        </w:tc>
        <w:tc>
          <w:tcPr>
            <w:tcW w:w="1548"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0CDE50D2" w14:textId="77777777" w:rsidR="00020CFB" w:rsidRPr="00020CFB" w:rsidRDefault="00020CFB" w:rsidP="00020CFB">
            <w:pPr>
              <w:rPr>
                <w:rFonts w:ascii="Calibri" w:eastAsia="Times New Roman" w:hAnsi="Calibri" w:cs="Calibri"/>
                <w:color w:val="000000"/>
                <w:sz w:val="18"/>
                <w:szCs w:val="18"/>
                <w:lang w:eastAsia="en-GB"/>
              </w:rPr>
            </w:pPr>
          </w:p>
        </w:tc>
        <w:tc>
          <w:tcPr>
            <w:tcW w:w="1736"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47CF3087"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72857345" w14:textId="77777777" w:rsidR="00020CFB" w:rsidRPr="00020CFB" w:rsidRDefault="00020CFB" w:rsidP="00020CFB">
            <w:pPr>
              <w:rPr>
                <w:rFonts w:ascii="Calibri" w:eastAsia="Times New Roman" w:hAnsi="Calibri" w:cs="Calibri"/>
                <w:color w:val="000000"/>
                <w:sz w:val="18"/>
                <w:szCs w:val="18"/>
                <w:lang w:eastAsia="en-GB"/>
              </w:rPr>
            </w:pPr>
          </w:p>
        </w:tc>
        <w:tc>
          <w:tcPr>
            <w:tcW w:w="1230"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04A4222B"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27BF8817"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79D4A43B"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6DAD6F61"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single" w:sz="8" w:space="0" w:color="auto"/>
              <w:left w:val="single" w:sz="8" w:space="0" w:color="auto"/>
              <w:bottom w:val="single" w:sz="8" w:space="0" w:color="000000"/>
              <w:right w:val="single" w:sz="8" w:space="0" w:color="auto"/>
            </w:tcBorders>
            <w:shd w:val="clear" w:color="auto" w:fill="E7E6E6" w:themeFill="background2"/>
            <w:hideMark/>
          </w:tcPr>
          <w:p w14:paraId="3196D77F"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725A1954" w14:textId="77777777" w:rsidTr="00020CFB">
        <w:trPr>
          <w:trHeight w:val="4520"/>
        </w:trPr>
        <w:tc>
          <w:tcPr>
            <w:tcW w:w="1397" w:type="dxa"/>
            <w:tcBorders>
              <w:top w:val="nil"/>
              <w:left w:val="single" w:sz="8" w:space="0" w:color="auto"/>
              <w:bottom w:val="single" w:sz="8" w:space="0" w:color="000000"/>
              <w:right w:val="single" w:sz="8" w:space="0" w:color="auto"/>
            </w:tcBorders>
            <w:shd w:val="clear" w:color="auto" w:fill="auto"/>
            <w:hideMark/>
          </w:tcPr>
          <w:p w14:paraId="3C148E51"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Dams constructed prior to EIA and thus raising the need for the study</w:t>
            </w:r>
          </w:p>
        </w:tc>
        <w:tc>
          <w:tcPr>
            <w:tcW w:w="1548" w:type="dxa"/>
            <w:tcBorders>
              <w:top w:val="nil"/>
              <w:left w:val="single" w:sz="8" w:space="0" w:color="auto"/>
              <w:bottom w:val="single" w:sz="8" w:space="0" w:color="000000"/>
              <w:right w:val="single" w:sz="8" w:space="0" w:color="auto"/>
            </w:tcBorders>
            <w:shd w:val="clear" w:color="auto" w:fill="auto"/>
            <w:hideMark/>
          </w:tcPr>
          <w:p w14:paraId="7BA49ECD"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Engagement of consultant to conduct ESIA/EA on the dams in all sites. The ESIA/EA will unfold all the environmental and social risks and propose mitigation measures which will then be established and monitored</w:t>
            </w:r>
          </w:p>
        </w:tc>
        <w:tc>
          <w:tcPr>
            <w:tcW w:w="1736" w:type="dxa"/>
            <w:tcBorders>
              <w:top w:val="nil"/>
              <w:left w:val="single" w:sz="8" w:space="0" w:color="auto"/>
              <w:bottom w:val="single" w:sz="8" w:space="0" w:color="000000"/>
              <w:right w:val="single" w:sz="8" w:space="0" w:color="auto"/>
            </w:tcBorders>
            <w:shd w:val="clear" w:color="auto" w:fill="auto"/>
            <w:hideMark/>
          </w:tcPr>
          <w:p w14:paraId="756D1575"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By end of October 2024</w:t>
            </w:r>
          </w:p>
        </w:tc>
        <w:tc>
          <w:tcPr>
            <w:tcW w:w="1503" w:type="dxa"/>
            <w:tcBorders>
              <w:top w:val="nil"/>
              <w:left w:val="nil"/>
              <w:right w:val="single" w:sz="8" w:space="0" w:color="auto"/>
            </w:tcBorders>
            <w:shd w:val="clear" w:color="auto" w:fill="auto"/>
            <w:hideMark/>
          </w:tcPr>
          <w:p w14:paraId="357C9CD0" w14:textId="77777777" w:rsidR="00020CFB" w:rsidRPr="00020CFB" w:rsidRDefault="00020CFB" w:rsidP="00020CFB">
            <w:pPr>
              <w:rPr>
                <w:rFonts w:ascii="Calibri" w:eastAsia="Times New Roman" w:hAnsi="Calibri" w:cs="Calibri"/>
                <w:color w:val="000000"/>
                <w:sz w:val="18"/>
                <w:szCs w:val="18"/>
                <w:lang w:eastAsia="en-GB"/>
              </w:rPr>
            </w:pPr>
            <w:proofErr w:type="spellStart"/>
            <w:r w:rsidRPr="00020CFB">
              <w:rPr>
                <w:rFonts w:ascii="Calibri" w:eastAsia="Times New Roman" w:hAnsi="Calibri" w:cs="Calibri"/>
                <w:color w:val="000000"/>
                <w:sz w:val="18"/>
                <w:szCs w:val="18"/>
                <w:lang w:val="en-US" w:eastAsia="en-GB"/>
              </w:rPr>
              <w:t>On going</w:t>
            </w:r>
            <w:proofErr w:type="spellEnd"/>
            <w:r w:rsidRPr="00020CFB">
              <w:rPr>
                <w:rFonts w:ascii="Calibri" w:eastAsia="Times New Roman" w:hAnsi="Calibri" w:cs="Calibri"/>
                <w:color w:val="000000"/>
                <w:sz w:val="18"/>
                <w:szCs w:val="18"/>
                <w:lang w:val="en-US" w:eastAsia="en-GB"/>
              </w:rPr>
              <w:t xml:space="preserve"> Consultant for ESIA has been engaged and initial document preparation for registration of the ESIA/EA is in progress </w:t>
            </w:r>
          </w:p>
          <w:p w14:paraId="74DD146C" w14:textId="0898A2DF"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230" w:type="dxa"/>
            <w:tcBorders>
              <w:top w:val="nil"/>
              <w:left w:val="single" w:sz="8" w:space="0" w:color="auto"/>
              <w:bottom w:val="single" w:sz="8" w:space="0" w:color="000000"/>
              <w:right w:val="single" w:sz="8" w:space="0" w:color="auto"/>
            </w:tcBorders>
            <w:shd w:val="clear" w:color="auto" w:fill="auto"/>
            <w:hideMark/>
          </w:tcPr>
          <w:p w14:paraId="60657B3A"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Executing Entity and NEMC</w:t>
            </w:r>
          </w:p>
        </w:tc>
        <w:tc>
          <w:tcPr>
            <w:tcW w:w="1110" w:type="dxa"/>
            <w:tcBorders>
              <w:top w:val="nil"/>
              <w:left w:val="nil"/>
              <w:right w:val="single" w:sz="8" w:space="0" w:color="auto"/>
            </w:tcBorders>
            <w:shd w:val="clear" w:color="auto" w:fill="auto"/>
            <w:hideMark/>
          </w:tcPr>
          <w:p w14:paraId="2C3ABA23"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AF budget Consultancy</w:t>
            </w:r>
          </w:p>
          <w:p w14:paraId="6403AE86"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p w14:paraId="7C4B3466"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p w14:paraId="303553FC" w14:textId="6C263892"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167" w:type="dxa"/>
            <w:tcBorders>
              <w:top w:val="nil"/>
              <w:left w:val="single" w:sz="8" w:space="0" w:color="auto"/>
              <w:bottom w:val="single" w:sz="8" w:space="0" w:color="000000"/>
              <w:right w:val="single" w:sz="8" w:space="0" w:color="auto"/>
            </w:tcBorders>
            <w:shd w:val="clear" w:color="auto" w:fill="auto"/>
            <w:hideMark/>
          </w:tcPr>
          <w:p w14:paraId="08E3C451"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NA</w:t>
            </w:r>
          </w:p>
        </w:tc>
        <w:tc>
          <w:tcPr>
            <w:tcW w:w="1256" w:type="dxa"/>
            <w:tcBorders>
              <w:top w:val="nil"/>
              <w:left w:val="single" w:sz="8" w:space="0" w:color="auto"/>
              <w:bottom w:val="single" w:sz="8" w:space="0" w:color="000000"/>
              <w:right w:val="single" w:sz="8" w:space="0" w:color="auto"/>
            </w:tcBorders>
            <w:shd w:val="clear" w:color="auto" w:fill="auto"/>
            <w:hideMark/>
          </w:tcPr>
          <w:p w14:paraId="24EEFBC5"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EIA report</w:t>
            </w:r>
          </w:p>
        </w:tc>
        <w:tc>
          <w:tcPr>
            <w:tcW w:w="1396" w:type="dxa"/>
            <w:tcBorders>
              <w:top w:val="nil"/>
              <w:left w:val="single" w:sz="8" w:space="0" w:color="auto"/>
              <w:bottom w:val="single" w:sz="8" w:space="0" w:color="000000"/>
              <w:right w:val="single" w:sz="8" w:space="0" w:color="auto"/>
            </w:tcBorders>
            <w:shd w:val="clear" w:color="auto" w:fill="auto"/>
            <w:hideMark/>
          </w:tcPr>
          <w:p w14:paraId="7F3D6BB6" w14:textId="1DD1EB5C"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Engagement of local communities and leaders</w:t>
            </w:r>
          </w:p>
        </w:tc>
      </w:tr>
      <w:tr w:rsidR="00020CFB" w:rsidRPr="00020CFB" w14:paraId="41AFDC6C" w14:textId="77777777" w:rsidTr="00020CFB">
        <w:trPr>
          <w:trHeight w:val="5710"/>
        </w:trPr>
        <w:tc>
          <w:tcPr>
            <w:tcW w:w="1397" w:type="dxa"/>
            <w:tcBorders>
              <w:top w:val="nil"/>
              <w:left w:val="single" w:sz="8" w:space="0" w:color="auto"/>
              <w:bottom w:val="nil"/>
              <w:right w:val="single" w:sz="8" w:space="0" w:color="auto"/>
            </w:tcBorders>
            <w:shd w:val="clear" w:color="auto" w:fill="auto"/>
            <w:hideMark/>
          </w:tcPr>
          <w:p w14:paraId="7680DD9C"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Relocation and establishment of vegetable gardens at </w:t>
            </w:r>
            <w:proofErr w:type="spellStart"/>
            <w:r w:rsidRPr="00020CFB">
              <w:rPr>
                <w:rFonts w:ascii="Calibri" w:eastAsia="Times New Roman" w:hAnsi="Calibri" w:cs="Calibri"/>
                <w:color w:val="000000"/>
                <w:sz w:val="18"/>
                <w:szCs w:val="18"/>
                <w:lang w:val="en-US" w:eastAsia="en-GB"/>
              </w:rPr>
              <w:t>Mkwese</w:t>
            </w:r>
            <w:proofErr w:type="spellEnd"/>
            <w:r w:rsidRPr="00020CFB">
              <w:rPr>
                <w:rFonts w:ascii="Calibri" w:eastAsia="Times New Roman" w:hAnsi="Calibri" w:cs="Calibri"/>
                <w:color w:val="000000"/>
                <w:sz w:val="18"/>
                <w:szCs w:val="18"/>
                <w:lang w:val="en-US" w:eastAsia="en-GB"/>
              </w:rPr>
              <w:t xml:space="preserve"> dam, </w:t>
            </w:r>
            <w:proofErr w:type="spellStart"/>
            <w:r w:rsidRPr="00020CFB">
              <w:rPr>
                <w:rFonts w:ascii="Calibri" w:eastAsia="Times New Roman" w:hAnsi="Calibri" w:cs="Calibri"/>
                <w:color w:val="000000"/>
                <w:sz w:val="18"/>
                <w:szCs w:val="18"/>
                <w:lang w:val="en-US" w:eastAsia="en-GB"/>
              </w:rPr>
              <w:t>Manyoni</w:t>
            </w:r>
            <w:proofErr w:type="spellEnd"/>
            <w:r w:rsidRPr="00020CFB">
              <w:rPr>
                <w:rFonts w:ascii="Calibri" w:eastAsia="Times New Roman" w:hAnsi="Calibri" w:cs="Calibri"/>
                <w:color w:val="000000"/>
                <w:sz w:val="18"/>
                <w:szCs w:val="18"/>
                <w:lang w:val="en-US" w:eastAsia="en-GB"/>
              </w:rPr>
              <w:t xml:space="preserve"> District:</w:t>
            </w:r>
          </w:p>
        </w:tc>
        <w:tc>
          <w:tcPr>
            <w:tcW w:w="1548" w:type="dxa"/>
            <w:vMerge w:val="restart"/>
            <w:tcBorders>
              <w:top w:val="nil"/>
              <w:left w:val="single" w:sz="8" w:space="0" w:color="auto"/>
              <w:bottom w:val="single" w:sz="8" w:space="0" w:color="000000"/>
              <w:right w:val="single" w:sz="8" w:space="0" w:color="auto"/>
            </w:tcBorders>
            <w:shd w:val="clear" w:color="auto" w:fill="auto"/>
            <w:hideMark/>
          </w:tcPr>
          <w:p w14:paraId="48C2A0CF"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The establishment of the garden at the proposed location has been considered. However, proper location of garden site will be informed by ESIA report.</w:t>
            </w:r>
          </w:p>
        </w:tc>
        <w:tc>
          <w:tcPr>
            <w:tcW w:w="1736" w:type="dxa"/>
            <w:vMerge w:val="restart"/>
            <w:tcBorders>
              <w:top w:val="nil"/>
              <w:left w:val="single" w:sz="8" w:space="0" w:color="auto"/>
              <w:bottom w:val="single" w:sz="8" w:space="0" w:color="000000"/>
              <w:right w:val="single" w:sz="8" w:space="0" w:color="auto"/>
            </w:tcBorders>
            <w:shd w:val="clear" w:color="auto" w:fill="auto"/>
            <w:hideMark/>
          </w:tcPr>
          <w:p w14:paraId="6D9FF7D8"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By end of October 2024</w:t>
            </w:r>
          </w:p>
        </w:tc>
        <w:tc>
          <w:tcPr>
            <w:tcW w:w="1503" w:type="dxa"/>
            <w:tcBorders>
              <w:top w:val="nil"/>
              <w:left w:val="nil"/>
              <w:bottom w:val="nil"/>
              <w:right w:val="single" w:sz="8" w:space="0" w:color="auto"/>
            </w:tcBorders>
            <w:shd w:val="clear" w:color="auto" w:fill="auto"/>
            <w:hideMark/>
          </w:tcPr>
          <w:p w14:paraId="2CF400B9"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On going </w:t>
            </w:r>
          </w:p>
        </w:tc>
        <w:tc>
          <w:tcPr>
            <w:tcW w:w="1230" w:type="dxa"/>
            <w:vMerge w:val="restart"/>
            <w:tcBorders>
              <w:top w:val="nil"/>
              <w:left w:val="single" w:sz="8" w:space="0" w:color="auto"/>
              <w:bottom w:val="single" w:sz="8" w:space="0" w:color="000000"/>
              <w:right w:val="single" w:sz="8" w:space="0" w:color="auto"/>
            </w:tcBorders>
            <w:shd w:val="clear" w:color="auto" w:fill="auto"/>
            <w:hideMark/>
          </w:tcPr>
          <w:p w14:paraId="27CC786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Executing entity</w:t>
            </w:r>
          </w:p>
        </w:tc>
        <w:tc>
          <w:tcPr>
            <w:tcW w:w="1110" w:type="dxa"/>
            <w:vMerge w:val="restart"/>
            <w:tcBorders>
              <w:top w:val="nil"/>
              <w:left w:val="single" w:sz="8" w:space="0" w:color="auto"/>
              <w:bottom w:val="single" w:sz="8" w:space="0" w:color="000000"/>
              <w:right w:val="single" w:sz="8" w:space="0" w:color="auto"/>
            </w:tcBorders>
            <w:shd w:val="clear" w:color="auto" w:fill="auto"/>
            <w:hideMark/>
          </w:tcPr>
          <w:p w14:paraId="6A32B31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AF budget</w:t>
            </w:r>
          </w:p>
        </w:tc>
        <w:tc>
          <w:tcPr>
            <w:tcW w:w="1167" w:type="dxa"/>
            <w:vMerge w:val="restart"/>
            <w:tcBorders>
              <w:top w:val="nil"/>
              <w:left w:val="single" w:sz="8" w:space="0" w:color="auto"/>
              <w:bottom w:val="single" w:sz="8" w:space="0" w:color="000000"/>
              <w:right w:val="single" w:sz="8" w:space="0" w:color="auto"/>
            </w:tcBorders>
            <w:shd w:val="clear" w:color="auto" w:fill="auto"/>
            <w:hideMark/>
          </w:tcPr>
          <w:p w14:paraId="360C9C38"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human-wildlife conflict (invasion of elephants in vegetable plots) mitigation measure will include education from wild life authorities on how to handle eleph</w:t>
            </w:r>
            <w:bookmarkStart w:id="0" w:name="_GoBack"/>
            <w:bookmarkEnd w:id="0"/>
            <w:r w:rsidRPr="00020CFB">
              <w:rPr>
                <w:rFonts w:ascii="Calibri" w:eastAsia="Times New Roman" w:hAnsi="Calibri" w:cs="Calibri"/>
                <w:color w:val="000000"/>
                <w:sz w:val="18"/>
                <w:szCs w:val="18"/>
                <w:lang w:val="en-US" w:eastAsia="en-GB"/>
              </w:rPr>
              <w:t xml:space="preserve">ants </w:t>
            </w:r>
          </w:p>
        </w:tc>
        <w:tc>
          <w:tcPr>
            <w:tcW w:w="1256" w:type="dxa"/>
            <w:vMerge w:val="restart"/>
            <w:tcBorders>
              <w:top w:val="nil"/>
              <w:left w:val="single" w:sz="8" w:space="0" w:color="auto"/>
              <w:bottom w:val="single" w:sz="8" w:space="0" w:color="000000"/>
              <w:right w:val="single" w:sz="8" w:space="0" w:color="auto"/>
            </w:tcBorders>
            <w:shd w:val="clear" w:color="auto" w:fill="auto"/>
            <w:hideMark/>
          </w:tcPr>
          <w:p w14:paraId="1CD1F2A7"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number of participating farmers in vegetable gardens yield harvested, income generated from vegetables </w:t>
            </w:r>
          </w:p>
        </w:tc>
        <w:tc>
          <w:tcPr>
            <w:tcW w:w="1396" w:type="dxa"/>
            <w:vMerge w:val="restart"/>
            <w:tcBorders>
              <w:top w:val="nil"/>
              <w:left w:val="single" w:sz="8" w:space="0" w:color="auto"/>
              <w:bottom w:val="single" w:sz="8" w:space="0" w:color="000000"/>
              <w:right w:val="single" w:sz="8" w:space="0" w:color="auto"/>
            </w:tcBorders>
            <w:shd w:val="clear" w:color="auto" w:fill="auto"/>
            <w:hideMark/>
          </w:tcPr>
          <w:p w14:paraId="3D56B02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Involvement of local communities and leaders in site selection and establishment of the garden sites</w:t>
            </w:r>
          </w:p>
        </w:tc>
      </w:tr>
      <w:tr w:rsidR="00020CFB" w:rsidRPr="00020CFB" w14:paraId="3360A4E9" w14:textId="77777777" w:rsidTr="00020CFB">
        <w:trPr>
          <w:trHeight w:val="4858"/>
        </w:trPr>
        <w:tc>
          <w:tcPr>
            <w:tcW w:w="1397" w:type="dxa"/>
            <w:tcBorders>
              <w:top w:val="nil"/>
              <w:left w:val="single" w:sz="8" w:space="0" w:color="auto"/>
              <w:bottom w:val="nil"/>
              <w:right w:val="single" w:sz="8" w:space="0" w:color="auto"/>
            </w:tcBorders>
            <w:shd w:val="clear" w:color="auto" w:fill="auto"/>
            <w:hideMark/>
          </w:tcPr>
          <w:p w14:paraId="4F4C78C4"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The community requested the area downstream of the dam to be cleared for vegetable garden establishment as their source of income generation after such activities being barred by dam establishment.</w:t>
            </w:r>
          </w:p>
        </w:tc>
        <w:tc>
          <w:tcPr>
            <w:tcW w:w="1548" w:type="dxa"/>
            <w:vMerge/>
            <w:tcBorders>
              <w:top w:val="nil"/>
              <w:left w:val="single" w:sz="8" w:space="0" w:color="auto"/>
              <w:bottom w:val="single" w:sz="8" w:space="0" w:color="000000"/>
              <w:right w:val="single" w:sz="8" w:space="0" w:color="auto"/>
            </w:tcBorders>
            <w:hideMark/>
          </w:tcPr>
          <w:p w14:paraId="43C1CEF2" w14:textId="77777777" w:rsidR="00020CFB" w:rsidRPr="00020CFB" w:rsidRDefault="00020CFB" w:rsidP="00020CFB">
            <w:pPr>
              <w:rPr>
                <w:rFonts w:ascii="Calibri" w:eastAsia="Times New Roman" w:hAnsi="Calibri" w:cs="Calibri"/>
                <w:color w:val="000000"/>
                <w:sz w:val="18"/>
                <w:szCs w:val="18"/>
                <w:lang w:eastAsia="en-GB"/>
              </w:rPr>
            </w:pPr>
          </w:p>
        </w:tc>
        <w:tc>
          <w:tcPr>
            <w:tcW w:w="1736" w:type="dxa"/>
            <w:vMerge/>
            <w:tcBorders>
              <w:top w:val="nil"/>
              <w:left w:val="single" w:sz="8" w:space="0" w:color="auto"/>
              <w:bottom w:val="single" w:sz="8" w:space="0" w:color="000000"/>
              <w:right w:val="single" w:sz="8" w:space="0" w:color="auto"/>
            </w:tcBorders>
            <w:hideMark/>
          </w:tcPr>
          <w:p w14:paraId="7D2CE849"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nil"/>
              <w:right w:val="single" w:sz="8" w:space="0" w:color="auto"/>
            </w:tcBorders>
            <w:shd w:val="clear" w:color="auto" w:fill="auto"/>
            <w:hideMark/>
          </w:tcPr>
          <w:p w14:paraId="3ED83893"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Establishment of the requirement for clearing the site and establishing vegetable plots is ongoing. The actual implementation will await the EIA report</w:t>
            </w:r>
          </w:p>
        </w:tc>
        <w:tc>
          <w:tcPr>
            <w:tcW w:w="1230" w:type="dxa"/>
            <w:vMerge/>
            <w:tcBorders>
              <w:top w:val="nil"/>
              <w:left w:val="single" w:sz="8" w:space="0" w:color="auto"/>
              <w:bottom w:val="single" w:sz="8" w:space="0" w:color="000000"/>
              <w:right w:val="single" w:sz="8" w:space="0" w:color="auto"/>
            </w:tcBorders>
            <w:hideMark/>
          </w:tcPr>
          <w:p w14:paraId="07FF2337"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61F6B737"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50DFA8B3"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2F57AE33"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51C2A5D4"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48E6015C" w14:textId="77777777" w:rsidTr="00020CFB">
        <w:trPr>
          <w:trHeight w:val="371"/>
        </w:trPr>
        <w:tc>
          <w:tcPr>
            <w:tcW w:w="1397" w:type="dxa"/>
            <w:tcBorders>
              <w:top w:val="nil"/>
              <w:left w:val="single" w:sz="8" w:space="0" w:color="auto"/>
              <w:bottom w:val="single" w:sz="8" w:space="0" w:color="auto"/>
              <w:right w:val="single" w:sz="8" w:space="0" w:color="auto"/>
            </w:tcBorders>
            <w:shd w:val="clear" w:color="auto" w:fill="auto"/>
            <w:hideMark/>
          </w:tcPr>
          <w:p w14:paraId="1D896A1A"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548" w:type="dxa"/>
            <w:vMerge/>
            <w:tcBorders>
              <w:top w:val="nil"/>
              <w:left w:val="single" w:sz="8" w:space="0" w:color="auto"/>
              <w:bottom w:val="single" w:sz="8" w:space="0" w:color="000000"/>
              <w:right w:val="single" w:sz="8" w:space="0" w:color="auto"/>
            </w:tcBorders>
            <w:hideMark/>
          </w:tcPr>
          <w:p w14:paraId="3BB82BDB" w14:textId="77777777" w:rsidR="00020CFB" w:rsidRPr="00020CFB" w:rsidRDefault="00020CFB" w:rsidP="00020CFB">
            <w:pPr>
              <w:rPr>
                <w:rFonts w:ascii="Calibri" w:eastAsia="Times New Roman" w:hAnsi="Calibri" w:cs="Calibri"/>
                <w:color w:val="000000"/>
                <w:sz w:val="18"/>
                <w:szCs w:val="18"/>
                <w:lang w:eastAsia="en-GB"/>
              </w:rPr>
            </w:pPr>
          </w:p>
        </w:tc>
        <w:tc>
          <w:tcPr>
            <w:tcW w:w="1736" w:type="dxa"/>
            <w:vMerge/>
            <w:tcBorders>
              <w:top w:val="nil"/>
              <w:left w:val="single" w:sz="8" w:space="0" w:color="auto"/>
              <w:bottom w:val="single" w:sz="8" w:space="0" w:color="000000"/>
              <w:right w:val="single" w:sz="8" w:space="0" w:color="auto"/>
            </w:tcBorders>
            <w:hideMark/>
          </w:tcPr>
          <w:p w14:paraId="2377442E"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single" w:sz="8" w:space="0" w:color="auto"/>
              <w:right w:val="single" w:sz="8" w:space="0" w:color="auto"/>
            </w:tcBorders>
            <w:shd w:val="clear" w:color="auto" w:fill="auto"/>
            <w:hideMark/>
          </w:tcPr>
          <w:p w14:paraId="317F6776"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230" w:type="dxa"/>
            <w:vMerge/>
            <w:tcBorders>
              <w:top w:val="nil"/>
              <w:left w:val="single" w:sz="8" w:space="0" w:color="auto"/>
              <w:bottom w:val="single" w:sz="8" w:space="0" w:color="000000"/>
              <w:right w:val="single" w:sz="8" w:space="0" w:color="auto"/>
            </w:tcBorders>
            <w:hideMark/>
          </w:tcPr>
          <w:p w14:paraId="7FB0F008"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41F55EC3"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7D41426B"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4B9DEC12"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04764948"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2CEF4786" w14:textId="77777777" w:rsidTr="00020CFB">
        <w:trPr>
          <w:trHeight w:val="900"/>
        </w:trPr>
        <w:tc>
          <w:tcPr>
            <w:tcW w:w="1397" w:type="dxa"/>
            <w:tcBorders>
              <w:top w:val="nil"/>
              <w:left w:val="single" w:sz="8" w:space="0" w:color="auto"/>
              <w:bottom w:val="nil"/>
              <w:right w:val="single" w:sz="8" w:space="0" w:color="auto"/>
            </w:tcBorders>
            <w:shd w:val="clear" w:color="auto" w:fill="auto"/>
            <w:hideMark/>
          </w:tcPr>
          <w:p w14:paraId="308F2FE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Solutions for siltation of </w:t>
            </w:r>
            <w:proofErr w:type="spellStart"/>
            <w:r w:rsidRPr="00020CFB">
              <w:rPr>
                <w:rFonts w:ascii="Calibri" w:eastAsia="Times New Roman" w:hAnsi="Calibri" w:cs="Calibri"/>
                <w:color w:val="000000"/>
                <w:sz w:val="18"/>
                <w:szCs w:val="18"/>
                <w:lang w:val="en-US" w:eastAsia="en-GB"/>
              </w:rPr>
              <w:t>Mkwese</w:t>
            </w:r>
            <w:proofErr w:type="spellEnd"/>
            <w:r w:rsidRPr="00020CFB">
              <w:rPr>
                <w:rFonts w:ascii="Calibri" w:eastAsia="Times New Roman" w:hAnsi="Calibri" w:cs="Calibri"/>
                <w:color w:val="000000"/>
                <w:sz w:val="18"/>
                <w:szCs w:val="18"/>
                <w:lang w:val="en-US" w:eastAsia="en-GB"/>
              </w:rPr>
              <w:t xml:space="preserve"> dam. </w:t>
            </w:r>
          </w:p>
        </w:tc>
        <w:tc>
          <w:tcPr>
            <w:tcW w:w="1548" w:type="dxa"/>
            <w:vMerge w:val="restart"/>
            <w:tcBorders>
              <w:top w:val="nil"/>
              <w:left w:val="single" w:sz="8" w:space="0" w:color="auto"/>
              <w:bottom w:val="single" w:sz="8" w:space="0" w:color="000000"/>
              <w:right w:val="single" w:sz="8" w:space="0" w:color="auto"/>
            </w:tcBorders>
            <w:shd w:val="clear" w:color="auto" w:fill="auto"/>
            <w:hideMark/>
          </w:tcPr>
          <w:p w14:paraId="002E855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Planting of vetiver grass, and instilling gabions on the erosion </w:t>
            </w:r>
            <w:r w:rsidRPr="00020CFB">
              <w:rPr>
                <w:rFonts w:ascii="Calibri" w:eastAsia="Times New Roman" w:hAnsi="Calibri" w:cs="Calibri"/>
                <w:color w:val="000000"/>
                <w:sz w:val="18"/>
                <w:szCs w:val="18"/>
                <w:lang w:val="en-US" w:eastAsia="en-GB"/>
              </w:rPr>
              <w:lastRenderedPageBreak/>
              <w:t>prone areas gulley’s; direct planting of wattle trees and fencing (galvanized wires) the area to limit livestock trespassing. A person to be given charge over maintenance of the planted grass and tree seedlings before the next rainfall onset.</w:t>
            </w:r>
          </w:p>
        </w:tc>
        <w:tc>
          <w:tcPr>
            <w:tcW w:w="1736" w:type="dxa"/>
            <w:vMerge w:val="restart"/>
            <w:tcBorders>
              <w:top w:val="nil"/>
              <w:left w:val="single" w:sz="8" w:space="0" w:color="auto"/>
              <w:bottom w:val="single" w:sz="8" w:space="0" w:color="000000"/>
              <w:right w:val="single" w:sz="8" w:space="0" w:color="auto"/>
            </w:tcBorders>
            <w:shd w:val="clear" w:color="auto" w:fill="auto"/>
            <w:hideMark/>
          </w:tcPr>
          <w:p w14:paraId="13BD55B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By the end of April 2025</w:t>
            </w:r>
          </w:p>
        </w:tc>
        <w:tc>
          <w:tcPr>
            <w:tcW w:w="1503" w:type="dxa"/>
            <w:tcBorders>
              <w:top w:val="nil"/>
              <w:left w:val="nil"/>
              <w:bottom w:val="nil"/>
              <w:right w:val="single" w:sz="8" w:space="0" w:color="auto"/>
            </w:tcBorders>
            <w:shd w:val="clear" w:color="auto" w:fill="auto"/>
            <w:hideMark/>
          </w:tcPr>
          <w:p w14:paraId="618CEB9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On going</w:t>
            </w:r>
          </w:p>
        </w:tc>
        <w:tc>
          <w:tcPr>
            <w:tcW w:w="1230" w:type="dxa"/>
            <w:vMerge w:val="restart"/>
            <w:tcBorders>
              <w:top w:val="nil"/>
              <w:left w:val="single" w:sz="8" w:space="0" w:color="auto"/>
              <w:bottom w:val="single" w:sz="8" w:space="0" w:color="000000"/>
              <w:right w:val="single" w:sz="8" w:space="0" w:color="auto"/>
            </w:tcBorders>
            <w:shd w:val="clear" w:color="auto" w:fill="auto"/>
            <w:hideMark/>
          </w:tcPr>
          <w:p w14:paraId="763635C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Executing entity</w:t>
            </w:r>
          </w:p>
        </w:tc>
        <w:tc>
          <w:tcPr>
            <w:tcW w:w="1110" w:type="dxa"/>
            <w:vMerge w:val="restart"/>
            <w:tcBorders>
              <w:top w:val="nil"/>
              <w:left w:val="single" w:sz="8" w:space="0" w:color="auto"/>
              <w:bottom w:val="single" w:sz="8" w:space="0" w:color="000000"/>
              <w:right w:val="single" w:sz="8" w:space="0" w:color="auto"/>
            </w:tcBorders>
            <w:shd w:val="clear" w:color="auto" w:fill="auto"/>
            <w:hideMark/>
          </w:tcPr>
          <w:p w14:paraId="18BB163A"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AF budget</w:t>
            </w:r>
          </w:p>
        </w:tc>
        <w:tc>
          <w:tcPr>
            <w:tcW w:w="1167" w:type="dxa"/>
            <w:vMerge w:val="restart"/>
            <w:tcBorders>
              <w:top w:val="nil"/>
              <w:left w:val="single" w:sz="8" w:space="0" w:color="auto"/>
              <w:bottom w:val="single" w:sz="8" w:space="0" w:color="000000"/>
              <w:right w:val="single" w:sz="8" w:space="0" w:color="auto"/>
            </w:tcBorders>
            <w:shd w:val="clear" w:color="auto" w:fill="auto"/>
            <w:hideMark/>
          </w:tcPr>
          <w:p w14:paraId="5C50623F"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Vandalism from villagers Continued </w:t>
            </w:r>
            <w:r w:rsidRPr="00020CFB">
              <w:rPr>
                <w:rFonts w:ascii="Calibri" w:eastAsia="Times New Roman" w:hAnsi="Calibri" w:cs="Calibri"/>
                <w:color w:val="000000"/>
                <w:sz w:val="18"/>
                <w:szCs w:val="18"/>
                <w:lang w:val="en-US" w:eastAsia="en-GB"/>
              </w:rPr>
              <w:lastRenderedPageBreak/>
              <w:t>monitoring and awareness creation to the community</w:t>
            </w:r>
          </w:p>
        </w:tc>
        <w:tc>
          <w:tcPr>
            <w:tcW w:w="1256" w:type="dxa"/>
            <w:vMerge w:val="restart"/>
            <w:tcBorders>
              <w:top w:val="nil"/>
              <w:left w:val="single" w:sz="8" w:space="0" w:color="auto"/>
              <w:bottom w:val="single" w:sz="8" w:space="0" w:color="000000"/>
              <w:right w:val="single" w:sz="8" w:space="0" w:color="auto"/>
            </w:tcBorders>
            <w:shd w:val="clear" w:color="auto" w:fill="auto"/>
            <w:hideMark/>
          </w:tcPr>
          <w:p w14:paraId="12D5E70D" w14:textId="1928CFF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reduced gullies erosion and establishment </w:t>
            </w:r>
            <w:r w:rsidRPr="00020CFB">
              <w:rPr>
                <w:rFonts w:ascii="Calibri" w:eastAsia="Times New Roman" w:hAnsi="Calibri" w:cs="Calibri"/>
                <w:color w:val="000000"/>
                <w:sz w:val="18"/>
                <w:szCs w:val="18"/>
                <w:lang w:val="en-US" w:eastAsia="en-GB"/>
              </w:rPr>
              <w:lastRenderedPageBreak/>
              <w:t>of vetiver grasses at the heap</w:t>
            </w:r>
          </w:p>
        </w:tc>
        <w:tc>
          <w:tcPr>
            <w:tcW w:w="1396" w:type="dxa"/>
            <w:vMerge w:val="restart"/>
            <w:tcBorders>
              <w:top w:val="nil"/>
              <w:left w:val="single" w:sz="8" w:space="0" w:color="auto"/>
              <w:bottom w:val="single" w:sz="8" w:space="0" w:color="000000"/>
              <w:right w:val="single" w:sz="8" w:space="0" w:color="auto"/>
            </w:tcBorders>
            <w:shd w:val="clear" w:color="auto" w:fill="auto"/>
            <w:hideMark/>
          </w:tcPr>
          <w:p w14:paraId="330DA13C" w14:textId="0E29A793"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Community engagement in installation and maintenance of </w:t>
            </w:r>
            <w:r w:rsidRPr="00020CFB">
              <w:rPr>
                <w:rFonts w:ascii="Calibri" w:eastAsia="Times New Roman" w:hAnsi="Calibri" w:cs="Calibri"/>
                <w:color w:val="000000"/>
                <w:sz w:val="18"/>
                <w:szCs w:val="18"/>
                <w:lang w:val="en-US" w:eastAsia="en-GB"/>
              </w:rPr>
              <w:lastRenderedPageBreak/>
              <w:t xml:space="preserve">infrastructures of the dam </w:t>
            </w:r>
          </w:p>
        </w:tc>
      </w:tr>
      <w:tr w:rsidR="00020CFB" w:rsidRPr="00020CFB" w14:paraId="45455C02" w14:textId="77777777" w:rsidTr="00020CFB">
        <w:trPr>
          <w:trHeight w:val="6280"/>
        </w:trPr>
        <w:tc>
          <w:tcPr>
            <w:tcW w:w="1397" w:type="dxa"/>
            <w:tcBorders>
              <w:top w:val="nil"/>
              <w:left w:val="single" w:sz="8" w:space="0" w:color="auto"/>
              <w:bottom w:val="nil"/>
              <w:right w:val="single" w:sz="8" w:space="0" w:color="auto"/>
            </w:tcBorders>
            <w:shd w:val="clear" w:color="auto" w:fill="auto"/>
            <w:hideMark/>
          </w:tcPr>
          <w:p w14:paraId="41B4F4FD"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The overburden heaps resulting from dam excavation showed signs of erosion (gullies) which results in siltation of dam and thereby threaten its sustainability.  The need for immediate action to mitigate this impact was emphasized.</w:t>
            </w:r>
          </w:p>
        </w:tc>
        <w:tc>
          <w:tcPr>
            <w:tcW w:w="1548" w:type="dxa"/>
            <w:vMerge/>
            <w:tcBorders>
              <w:top w:val="nil"/>
              <w:left w:val="single" w:sz="8" w:space="0" w:color="auto"/>
              <w:bottom w:val="single" w:sz="8" w:space="0" w:color="000000"/>
              <w:right w:val="single" w:sz="8" w:space="0" w:color="auto"/>
            </w:tcBorders>
            <w:hideMark/>
          </w:tcPr>
          <w:p w14:paraId="56276773" w14:textId="77777777" w:rsidR="00020CFB" w:rsidRPr="00020CFB" w:rsidRDefault="00020CFB" w:rsidP="00020CFB">
            <w:pPr>
              <w:rPr>
                <w:rFonts w:ascii="Calibri" w:eastAsia="Times New Roman" w:hAnsi="Calibri" w:cs="Calibri"/>
                <w:color w:val="000000"/>
                <w:sz w:val="18"/>
                <w:szCs w:val="18"/>
                <w:lang w:eastAsia="en-GB"/>
              </w:rPr>
            </w:pPr>
          </w:p>
        </w:tc>
        <w:tc>
          <w:tcPr>
            <w:tcW w:w="1736" w:type="dxa"/>
            <w:vMerge/>
            <w:tcBorders>
              <w:top w:val="nil"/>
              <w:left w:val="single" w:sz="8" w:space="0" w:color="auto"/>
              <w:bottom w:val="single" w:sz="8" w:space="0" w:color="000000"/>
              <w:right w:val="single" w:sz="8" w:space="0" w:color="auto"/>
            </w:tcBorders>
            <w:hideMark/>
          </w:tcPr>
          <w:p w14:paraId="40B882F0"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nil"/>
              <w:right w:val="single" w:sz="8" w:space="0" w:color="auto"/>
            </w:tcBorders>
            <w:shd w:val="clear" w:color="auto" w:fill="auto"/>
            <w:hideMark/>
          </w:tcPr>
          <w:p w14:paraId="01841B11"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Procurement of fencing materials, grasses and labour charges for maintenance are being worked out</w:t>
            </w:r>
          </w:p>
        </w:tc>
        <w:tc>
          <w:tcPr>
            <w:tcW w:w="1230" w:type="dxa"/>
            <w:vMerge/>
            <w:tcBorders>
              <w:top w:val="nil"/>
              <w:left w:val="single" w:sz="8" w:space="0" w:color="auto"/>
              <w:bottom w:val="single" w:sz="8" w:space="0" w:color="000000"/>
              <w:right w:val="single" w:sz="8" w:space="0" w:color="auto"/>
            </w:tcBorders>
            <w:hideMark/>
          </w:tcPr>
          <w:p w14:paraId="440F018A"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0EBAE4FA"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32EF0198"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161CF598"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700685BB"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653E717C" w14:textId="77777777" w:rsidTr="00020CFB">
        <w:trPr>
          <w:trHeight w:val="340"/>
        </w:trPr>
        <w:tc>
          <w:tcPr>
            <w:tcW w:w="1397" w:type="dxa"/>
            <w:tcBorders>
              <w:top w:val="nil"/>
              <w:left w:val="single" w:sz="8" w:space="0" w:color="auto"/>
              <w:bottom w:val="single" w:sz="8" w:space="0" w:color="auto"/>
              <w:right w:val="single" w:sz="8" w:space="0" w:color="auto"/>
            </w:tcBorders>
            <w:shd w:val="clear" w:color="auto" w:fill="auto"/>
            <w:hideMark/>
          </w:tcPr>
          <w:p w14:paraId="1C98B14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548" w:type="dxa"/>
            <w:vMerge/>
            <w:tcBorders>
              <w:top w:val="nil"/>
              <w:left w:val="single" w:sz="8" w:space="0" w:color="auto"/>
              <w:bottom w:val="single" w:sz="8" w:space="0" w:color="000000"/>
              <w:right w:val="single" w:sz="8" w:space="0" w:color="auto"/>
            </w:tcBorders>
            <w:hideMark/>
          </w:tcPr>
          <w:p w14:paraId="28D4A477" w14:textId="77777777" w:rsidR="00020CFB" w:rsidRPr="00020CFB" w:rsidRDefault="00020CFB" w:rsidP="00020CFB">
            <w:pPr>
              <w:rPr>
                <w:rFonts w:ascii="Calibri" w:eastAsia="Times New Roman" w:hAnsi="Calibri" w:cs="Calibri"/>
                <w:color w:val="000000"/>
                <w:sz w:val="18"/>
                <w:szCs w:val="18"/>
                <w:lang w:eastAsia="en-GB"/>
              </w:rPr>
            </w:pPr>
          </w:p>
        </w:tc>
        <w:tc>
          <w:tcPr>
            <w:tcW w:w="1736" w:type="dxa"/>
            <w:vMerge/>
            <w:tcBorders>
              <w:top w:val="nil"/>
              <w:left w:val="single" w:sz="8" w:space="0" w:color="auto"/>
              <w:bottom w:val="single" w:sz="8" w:space="0" w:color="000000"/>
              <w:right w:val="single" w:sz="8" w:space="0" w:color="auto"/>
            </w:tcBorders>
            <w:hideMark/>
          </w:tcPr>
          <w:p w14:paraId="00B63643"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single" w:sz="8" w:space="0" w:color="auto"/>
              <w:right w:val="single" w:sz="8" w:space="0" w:color="auto"/>
            </w:tcBorders>
            <w:shd w:val="clear" w:color="auto" w:fill="auto"/>
            <w:hideMark/>
          </w:tcPr>
          <w:p w14:paraId="694C5153"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230" w:type="dxa"/>
            <w:vMerge/>
            <w:tcBorders>
              <w:top w:val="nil"/>
              <w:left w:val="single" w:sz="8" w:space="0" w:color="auto"/>
              <w:bottom w:val="single" w:sz="8" w:space="0" w:color="000000"/>
              <w:right w:val="single" w:sz="8" w:space="0" w:color="auto"/>
            </w:tcBorders>
            <w:hideMark/>
          </w:tcPr>
          <w:p w14:paraId="2FD8C4B5"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29FF13BF"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39A53E82"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135BDCF1"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4637C99D"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2C9828E7" w14:textId="77777777" w:rsidTr="00020CFB">
        <w:trPr>
          <w:trHeight w:val="3000"/>
        </w:trPr>
        <w:tc>
          <w:tcPr>
            <w:tcW w:w="1397" w:type="dxa"/>
            <w:tcBorders>
              <w:top w:val="nil"/>
              <w:left w:val="single" w:sz="8" w:space="0" w:color="auto"/>
              <w:bottom w:val="nil"/>
              <w:right w:val="single" w:sz="8" w:space="0" w:color="auto"/>
            </w:tcBorders>
            <w:shd w:val="clear" w:color="auto" w:fill="auto"/>
            <w:hideMark/>
          </w:tcPr>
          <w:p w14:paraId="0BCB06C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Strategies to resolve grievances raised by villagers at </w:t>
            </w:r>
            <w:proofErr w:type="spellStart"/>
            <w:r w:rsidRPr="00020CFB">
              <w:rPr>
                <w:rFonts w:ascii="Calibri" w:eastAsia="Times New Roman" w:hAnsi="Calibri" w:cs="Calibri"/>
                <w:color w:val="000000"/>
                <w:sz w:val="18"/>
                <w:szCs w:val="18"/>
                <w:lang w:val="en-US" w:eastAsia="en-GB"/>
              </w:rPr>
              <w:t>Mkwese</w:t>
            </w:r>
            <w:proofErr w:type="spellEnd"/>
            <w:r w:rsidRPr="00020CFB">
              <w:rPr>
                <w:rFonts w:ascii="Calibri" w:eastAsia="Times New Roman" w:hAnsi="Calibri" w:cs="Calibri"/>
                <w:color w:val="000000"/>
                <w:sz w:val="18"/>
                <w:szCs w:val="18"/>
                <w:lang w:val="en-US" w:eastAsia="en-GB"/>
              </w:rPr>
              <w:t>.</w:t>
            </w:r>
          </w:p>
        </w:tc>
        <w:tc>
          <w:tcPr>
            <w:tcW w:w="1548" w:type="dxa"/>
            <w:tcBorders>
              <w:top w:val="nil"/>
              <w:left w:val="nil"/>
              <w:bottom w:val="nil"/>
              <w:right w:val="single" w:sz="8" w:space="0" w:color="auto"/>
            </w:tcBorders>
            <w:shd w:val="clear" w:color="auto" w:fill="auto"/>
            <w:hideMark/>
          </w:tcPr>
          <w:p w14:paraId="06D0C868"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Call for stakeholders meeting to get true representation of all social groups in order to get a common understanding of project activities.</w:t>
            </w:r>
          </w:p>
        </w:tc>
        <w:tc>
          <w:tcPr>
            <w:tcW w:w="1736" w:type="dxa"/>
            <w:vMerge w:val="restart"/>
            <w:tcBorders>
              <w:top w:val="nil"/>
              <w:left w:val="single" w:sz="8" w:space="0" w:color="auto"/>
              <w:bottom w:val="single" w:sz="8" w:space="0" w:color="000000"/>
              <w:right w:val="single" w:sz="8" w:space="0" w:color="auto"/>
            </w:tcBorders>
            <w:shd w:val="clear" w:color="auto" w:fill="auto"/>
            <w:hideMark/>
          </w:tcPr>
          <w:p w14:paraId="12A500C5"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By the end of July 2024 to complete</w:t>
            </w:r>
          </w:p>
        </w:tc>
        <w:tc>
          <w:tcPr>
            <w:tcW w:w="1503" w:type="dxa"/>
            <w:tcBorders>
              <w:top w:val="nil"/>
              <w:left w:val="nil"/>
              <w:bottom w:val="nil"/>
              <w:right w:val="single" w:sz="8" w:space="0" w:color="auto"/>
            </w:tcBorders>
            <w:shd w:val="clear" w:color="auto" w:fill="auto"/>
            <w:hideMark/>
          </w:tcPr>
          <w:p w14:paraId="5F1B47E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On going</w:t>
            </w:r>
          </w:p>
        </w:tc>
        <w:tc>
          <w:tcPr>
            <w:tcW w:w="1230" w:type="dxa"/>
            <w:vMerge w:val="restart"/>
            <w:tcBorders>
              <w:top w:val="nil"/>
              <w:left w:val="single" w:sz="8" w:space="0" w:color="auto"/>
              <w:bottom w:val="single" w:sz="8" w:space="0" w:color="000000"/>
              <w:right w:val="single" w:sz="8" w:space="0" w:color="auto"/>
            </w:tcBorders>
            <w:shd w:val="clear" w:color="auto" w:fill="auto"/>
            <w:hideMark/>
          </w:tcPr>
          <w:p w14:paraId="34A1531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Government authority (DC, DED, Council, village leaders, farmers community and researchers to conduct meeting </w:t>
            </w:r>
          </w:p>
        </w:tc>
        <w:tc>
          <w:tcPr>
            <w:tcW w:w="1110" w:type="dxa"/>
            <w:vMerge w:val="restart"/>
            <w:tcBorders>
              <w:top w:val="nil"/>
              <w:left w:val="single" w:sz="8" w:space="0" w:color="auto"/>
              <w:bottom w:val="single" w:sz="8" w:space="0" w:color="000000"/>
              <w:right w:val="single" w:sz="8" w:space="0" w:color="auto"/>
            </w:tcBorders>
            <w:shd w:val="clear" w:color="auto" w:fill="auto"/>
            <w:hideMark/>
          </w:tcPr>
          <w:p w14:paraId="2BFC5BDD"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AF budget</w:t>
            </w:r>
          </w:p>
        </w:tc>
        <w:tc>
          <w:tcPr>
            <w:tcW w:w="1167" w:type="dxa"/>
            <w:vMerge w:val="restart"/>
            <w:tcBorders>
              <w:top w:val="nil"/>
              <w:left w:val="single" w:sz="8" w:space="0" w:color="auto"/>
              <w:bottom w:val="single" w:sz="8" w:space="0" w:color="000000"/>
              <w:right w:val="single" w:sz="8" w:space="0" w:color="auto"/>
            </w:tcBorders>
            <w:shd w:val="clear" w:color="auto" w:fill="auto"/>
            <w:hideMark/>
          </w:tcPr>
          <w:p w14:paraId="0B5CF8F7" w14:textId="1B968F3F"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Resistance from influential laggards. Mitigation measures include awareness raising and capacity building </w:t>
            </w:r>
          </w:p>
        </w:tc>
        <w:tc>
          <w:tcPr>
            <w:tcW w:w="1256" w:type="dxa"/>
            <w:vMerge w:val="restart"/>
            <w:tcBorders>
              <w:top w:val="nil"/>
              <w:left w:val="single" w:sz="8" w:space="0" w:color="auto"/>
              <w:bottom w:val="single" w:sz="8" w:space="0" w:color="000000"/>
              <w:right w:val="single" w:sz="8" w:space="0" w:color="auto"/>
            </w:tcBorders>
            <w:shd w:val="clear" w:color="auto" w:fill="auto"/>
            <w:hideMark/>
          </w:tcPr>
          <w:p w14:paraId="08C7E0B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Number of grievance resolved/ reduced vandalism</w:t>
            </w:r>
          </w:p>
        </w:tc>
        <w:tc>
          <w:tcPr>
            <w:tcW w:w="1396" w:type="dxa"/>
            <w:vMerge w:val="restart"/>
            <w:tcBorders>
              <w:top w:val="nil"/>
              <w:left w:val="single" w:sz="8" w:space="0" w:color="auto"/>
              <w:bottom w:val="single" w:sz="8" w:space="0" w:color="000000"/>
              <w:right w:val="single" w:sz="8" w:space="0" w:color="auto"/>
            </w:tcBorders>
            <w:shd w:val="clear" w:color="auto" w:fill="auto"/>
            <w:hideMark/>
          </w:tcPr>
          <w:p w14:paraId="770597A9"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Involvement of local communities and leaders in conflict resolutions and awareness creation</w:t>
            </w:r>
          </w:p>
        </w:tc>
      </w:tr>
      <w:tr w:rsidR="00020CFB" w:rsidRPr="00020CFB" w14:paraId="15A211E1" w14:textId="77777777" w:rsidTr="00020CFB">
        <w:trPr>
          <w:trHeight w:val="4500"/>
        </w:trPr>
        <w:tc>
          <w:tcPr>
            <w:tcW w:w="1397" w:type="dxa"/>
            <w:tcBorders>
              <w:top w:val="nil"/>
              <w:left w:val="single" w:sz="8" w:space="0" w:color="auto"/>
              <w:bottom w:val="nil"/>
              <w:right w:val="single" w:sz="8" w:space="0" w:color="auto"/>
            </w:tcBorders>
            <w:shd w:val="clear" w:color="auto" w:fill="auto"/>
            <w:hideMark/>
          </w:tcPr>
          <w:p w14:paraId="37FA882F"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548" w:type="dxa"/>
            <w:tcBorders>
              <w:top w:val="nil"/>
              <w:left w:val="nil"/>
              <w:bottom w:val="nil"/>
              <w:right w:val="single" w:sz="8" w:space="0" w:color="auto"/>
            </w:tcBorders>
            <w:shd w:val="clear" w:color="auto" w:fill="auto"/>
            <w:hideMark/>
          </w:tcPr>
          <w:p w14:paraId="2147471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Ensure the key local leaders’ participation in the meeting in order to resolves any grievances. </w:t>
            </w:r>
          </w:p>
        </w:tc>
        <w:tc>
          <w:tcPr>
            <w:tcW w:w="1736" w:type="dxa"/>
            <w:vMerge/>
            <w:tcBorders>
              <w:top w:val="nil"/>
              <w:left w:val="single" w:sz="8" w:space="0" w:color="auto"/>
              <w:bottom w:val="single" w:sz="8" w:space="0" w:color="000000"/>
              <w:right w:val="single" w:sz="8" w:space="0" w:color="auto"/>
            </w:tcBorders>
            <w:hideMark/>
          </w:tcPr>
          <w:p w14:paraId="467E48C4"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nil"/>
              <w:right w:val="single" w:sz="8" w:space="0" w:color="auto"/>
            </w:tcBorders>
            <w:shd w:val="clear" w:color="auto" w:fill="auto"/>
            <w:hideMark/>
          </w:tcPr>
          <w:p w14:paraId="75BA6F2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Invitation to District Government representatives, Ward Executive Officer, 3 Village Executive Officers from all hamlets, livestock officer, and beneficiaries are ongoing</w:t>
            </w:r>
          </w:p>
        </w:tc>
        <w:tc>
          <w:tcPr>
            <w:tcW w:w="1230" w:type="dxa"/>
            <w:vMerge/>
            <w:tcBorders>
              <w:top w:val="nil"/>
              <w:left w:val="single" w:sz="8" w:space="0" w:color="auto"/>
              <w:bottom w:val="single" w:sz="8" w:space="0" w:color="000000"/>
              <w:right w:val="single" w:sz="8" w:space="0" w:color="auto"/>
            </w:tcBorders>
            <w:hideMark/>
          </w:tcPr>
          <w:p w14:paraId="0C461C5C"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78BAA11A"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2AC35EAE"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2413F2FC"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2C5D62BF"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78E11105" w14:textId="77777777" w:rsidTr="00020CFB">
        <w:trPr>
          <w:trHeight w:val="7120"/>
        </w:trPr>
        <w:tc>
          <w:tcPr>
            <w:tcW w:w="1397" w:type="dxa"/>
            <w:tcBorders>
              <w:top w:val="nil"/>
              <w:left w:val="single" w:sz="8" w:space="0" w:color="auto"/>
              <w:bottom w:val="nil"/>
              <w:right w:val="single" w:sz="8" w:space="0" w:color="auto"/>
            </w:tcBorders>
            <w:shd w:val="clear" w:color="auto" w:fill="auto"/>
            <w:hideMark/>
          </w:tcPr>
          <w:p w14:paraId="339A056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The grievances were based on </w:t>
            </w:r>
            <w:proofErr w:type="spellStart"/>
            <w:r w:rsidRPr="00020CFB">
              <w:rPr>
                <w:rFonts w:ascii="Calibri" w:eastAsia="Times New Roman" w:hAnsi="Calibri" w:cs="Calibri"/>
                <w:color w:val="000000"/>
                <w:sz w:val="18"/>
                <w:szCs w:val="18"/>
                <w:lang w:val="en-US" w:eastAsia="en-GB"/>
              </w:rPr>
              <w:t>dalay</w:t>
            </w:r>
            <w:proofErr w:type="spellEnd"/>
            <w:r w:rsidRPr="00020CFB">
              <w:rPr>
                <w:rFonts w:ascii="Calibri" w:eastAsia="Times New Roman" w:hAnsi="Calibri" w:cs="Calibri"/>
                <w:color w:val="000000"/>
                <w:sz w:val="18"/>
                <w:szCs w:val="18"/>
                <w:lang w:val="en-US" w:eastAsia="en-GB"/>
              </w:rPr>
              <w:t xml:space="preserve"> of vegetable farms relocation, inadequate community involvement and leadership change. Therefore, the inclusion and involvements of all beneficiaries in the implementation of the project seemed to have been inadequate.</w:t>
            </w:r>
          </w:p>
        </w:tc>
        <w:tc>
          <w:tcPr>
            <w:tcW w:w="1548" w:type="dxa"/>
            <w:tcBorders>
              <w:top w:val="nil"/>
              <w:left w:val="nil"/>
              <w:bottom w:val="nil"/>
              <w:right w:val="single" w:sz="8" w:space="0" w:color="auto"/>
            </w:tcBorders>
            <w:shd w:val="clear" w:color="auto" w:fill="auto"/>
            <w:hideMark/>
          </w:tcPr>
          <w:p w14:paraId="36CD4816"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Local leaders’ agreement and deliberation on power and sharing of resources from the project</w:t>
            </w:r>
          </w:p>
        </w:tc>
        <w:tc>
          <w:tcPr>
            <w:tcW w:w="1736" w:type="dxa"/>
            <w:vMerge/>
            <w:tcBorders>
              <w:top w:val="nil"/>
              <w:left w:val="single" w:sz="8" w:space="0" w:color="auto"/>
              <w:bottom w:val="single" w:sz="8" w:space="0" w:color="000000"/>
              <w:right w:val="single" w:sz="8" w:space="0" w:color="auto"/>
            </w:tcBorders>
            <w:hideMark/>
          </w:tcPr>
          <w:p w14:paraId="7C533267"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nil"/>
              <w:right w:val="single" w:sz="8" w:space="0" w:color="auto"/>
            </w:tcBorders>
            <w:shd w:val="clear" w:color="auto" w:fill="auto"/>
            <w:hideMark/>
          </w:tcPr>
          <w:p w14:paraId="1EC1A563"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230" w:type="dxa"/>
            <w:vMerge/>
            <w:tcBorders>
              <w:top w:val="nil"/>
              <w:left w:val="single" w:sz="8" w:space="0" w:color="auto"/>
              <w:bottom w:val="single" w:sz="8" w:space="0" w:color="000000"/>
              <w:right w:val="single" w:sz="8" w:space="0" w:color="auto"/>
            </w:tcBorders>
            <w:hideMark/>
          </w:tcPr>
          <w:p w14:paraId="05F28622"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44107E8C"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47D3A38A"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1D35C771"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3330F984"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274DCCBD" w14:textId="77777777" w:rsidTr="00020CFB">
        <w:trPr>
          <w:trHeight w:val="4500"/>
        </w:trPr>
        <w:tc>
          <w:tcPr>
            <w:tcW w:w="1397" w:type="dxa"/>
            <w:tcBorders>
              <w:top w:val="nil"/>
              <w:left w:val="single" w:sz="8" w:space="0" w:color="auto"/>
              <w:bottom w:val="nil"/>
              <w:right w:val="single" w:sz="8" w:space="0" w:color="auto"/>
            </w:tcBorders>
            <w:shd w:val="clear" w:color="auto" w:fill="auto"/>
            <w:hideMark/>
          </w:tcPr>
          <w:p w14:paraId="39AA77C1"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w:t>
            </w:r>
          </w:p>
        </w:tc>
        <w:tc>
          <w:tcPr>
            <w:tcW w:w="1548" w:type="dxa"/>
            <w:tcBorders>
              <w:top w:val="nil"/>
              <w:left w:val="nil"/>
              <w:bottom w:val="nil"/>
              <w:right w:val="single" w:sz="8" w:space="0" w:color="auto"/>
            </w:tcBorders>
            <w:shd w:val="clear" w:color="auto" w:fill="auto"/>
            <w:hideMark/>
          </w:tcPr>
          <w:p w14:paraId="5BC105E5"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Engagement of local government authorities especially the DC and DED offices in the meeting in order for all to get an update of the challenges in the site and provide the required support to protect the project infrastructure and activities.</w:t>
            </w:r>
          </w:p>
        </w:tc>
        <w:tc>
          <w:tcPr>
            <w:tcW w:w="1736" w:type="dxa"/>
            <w:vMerge/>
            <w:tcBorders>
              <w:top w:val="nil"/>
              <w:left w:val="single" w:sz="8" w:space="0" w:color="auto"/>
              <w:bottom w:val="single" w:sz="8" w:space="0" w:color="000000"/>
              <w:right w:val="single" w:sz="8" w:space="0" w:color="auto"/>
            </w:tcBorders>
            <w:hideMark/>
          </w:tcPr>
          <w:p w14:paraId="170C19C8"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nil"/>
              <w:right w:val="single" w:sz="8" w:space="0" w:color="auto"/>
            </w:tcBorders>
            <w:shd w:val="clear" w:color="auto" w:fill="auto"/>
            <w:hideMark/>
          </w:tcPr>
          <w:p w14:paraId="4645BD3C"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230" w:type="dxa"/>
            <w:vMerge/>
            <w:tcBorders>
              <w:top w:val="nil"/>
              <w:left w:val="single" w:sz="8" w:space="0" w:color="auto"/>
              <w:bottom w:val="single" w:sz="8" w:space="0" w:color="000000"/>
              <w:right w:val="single" w:sz="8" w:space="0" w:color="auto"/>
            </w:tcBorders>
            <w:hideMark/>
          </w:tcPr>
          <w:p w14:paraId="7C798DBF"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5E3FC841"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4FF246CB"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1C92CA24"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46618C3D"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79642C65" w14:textId="77777777" w:rsidTr="00020CFB">
        <w:trPr>
          <w:trHeight w:val="340"/>
        </w:trPr>
        <w:tc>
          <w:tcPr>
            <w:tcW w:w="1397" w:type="dxa"/>
            <w:tcBorders>
              <w:top w:val="nil"/>
              <w:left w:val="single" w:sz="8" w:space="0" w:color="auto"/>
              <w:bottom w:val="single" w:sz="8" w:space="0" w:color="auto"/>
              <w:right w:val="single" w:sz="8" w:space="0" w:color="auto"/>
            </w:tcBorders>
            <w:shd w:val="clear" w:color="auto" w:fill="auto"/>
            <w:hideMark/>
          </w:tcPr>
          <w:p w14:paraId="1337803B"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548" w:type="dxa"/>
            <w:tcBorders>
              <w:top w:val="nil"/>
              <w:left w:val="nil"/>
              <w:bottom w:val="single" w:sz="8" w:space="0" w:color="auto"/>
              <w:right w:val="single" w:sz="8" w:space="0" w:color="auto"/>
            </w:tcBorders>
            <w:shd w:val="clear" w:color="auto" w:fill="auto"/>
            <w:hideMark/>
          </w:tcPr>
          <w:p w14:paraId="533F09B6"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736" w:type="dxa"/>
            <w:vMerge/>
            <w:tcBorders>
              <w:top w:val="nil"/>
              <w:left w:val="single" w:sz="8" w:space="0" w:color="auto"/>
              <w:bottom w:val="single" w:sz="8" w:space="0" w:color="000000"/>
              <w:right w:val="single" w:sz="8" w:space="0" w:color="auto"/>
            </w:tcBorders>
            <w:hideMark/>
          </w:tcPr>
          <w:p w14:paraId="34646063"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single" w:sz="8" w:space="0" w:color="auto"/>
              <w:right w:val="single" w:sz="8" w:space="0" w:color="auto"/>
            </w:tcBorders>
            <w:shd w:val="clear" w:color="auto" w:fill="auto"/>
            <w:hideMark/>
          </w:tcPr>
          <w:p w14:paraId="09D28491"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230" w:type="dxa"/>
            <w:vMerge/>
            <w:tcBorders>
              <w:top w:val="nil"/>
              <w:left w:val="single" w:sz="8" w:space="0" w:color="auto"/>
              <w:bottom w:val="single" w:sz="8" w:space="0" w:color="000000"/>
              <w:right w:val="single" w:sz="8" w:space="0" w:color="auto"/>
            </w:tcBorders>
            <w:hideMark/>
          </w:tcPr>
          <w:p w14:paraId="6C3476E7"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33C28005"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47B5FC49"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2B9C4667"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254594A4"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0BCEFD0A" w14:textId="77777777" w:rsidTr="00020CFB">
        <w:trPr>
          <w:trHeight w:val="1500"/>
        </w:trPr>
        <w:tc>
          <w:tcPr>
            <w:tcW w:w="1397" w:type="dxa"/>
            <w:tcBorders>
              <w:top w:val="nil"/>
              <w:left w:val="single" w:sz="8" w:space="0" w:color="auto"/>
              <w:bottom w:val="nil"/>
              <w:right w:val="single" w:sz="8" w:space="0" w:color="auto"/>
            </w:tcBorders>
            <w:shd w:val="clear" w:color="auto" w:fill="auto"/>
            <w:hideMark/>
          </w:tcPr>
          <w:p w14:paraId="3762A249"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Resolution plans for ESMP and Gender policy.</w:t>
            </w:r>
          </w:p>
        </w:tc>
        <w:tc>
          <w:tcPr>
            <w:tcW w:w="1548" w:type="dxa"/>
            <w:tcBorders>
              <w:top w:val="nil"/>
              <w:left w:val="nil"/>
              <w:bottom w:val="nil"/>
              <w:right w:val="single" w:sz="8" w:space="0" w:color="auto"/>
            </w:tcBorders>
            <w:shd w:val="clear" w:color="auto" w:fill="auto"/>
            <w:hideMark/>
          </w:tcPr>
          <w:p w14:paraId="5DF8ACF9"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Complete updated ESMP will be availed following the completion of EIA report</w:t>
            </w:r>
          </w:p>
        </w:tc>
        <w:tc>
          <w:tcPr>
            <w:tcW w:w="1736" w:type="dxa"/>
            <w:vMerge w:val="restart"/>
            <w:tcBorders>
              <w:top w:val="nil"/>
              <w:left w:val="single" w:sz="8" w:space="0" w:color="auto"/>
              <w:bottom w:val="single" w:sz="8" w:space="0" w:color="000000"/>
              <w:right w:val="single" w:sz="8" w:space="0" w:color="auto"/>
            </w:tcBorders>
            <w:shd w:val="clear" w:color="auto" w:fill="auto"/>
            <w:hideMark/>
          </w:tcPr>
          <w:p w14:paraId="2810C039"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By the end of October 2024</w:t>
            </w:r>
          </w:p>
        </w:tc>
        <w:tc>
          <w:tcPr>
            <w:tcW w:w="1503" w:type="dxa"/>
            <w:tcBorders>
              <w:top w:val="nil"/>
              <w:left w:val="nil"/>
              <w:bottom w:val="nil"/>
              <w:right w:val="single" w:sz="8" w:space="0" w:color="auto"/>
            </w:tcBorders>
            <w:shd w:val="clear" w:color="auto" w:fill="auto"/>
            <w:hideMark/>
          </w:tcPr>
          <w:p w14:paraId="25AB1689"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On going</w:t>
            </w:r>
          </w:p>
        </w:tc>
        <w:tc>
          <w:tcPr>
            <w:tcW w:w="1230" w:type="dxa"/>
            <w:vMerge w:val="restart"/>
            <w:tcBorders>
              <w:top w:val="nil"/>
              <w:left w:val="single" w:sz="8" w:space="0" w:color="auto"/>
              <w:bottom w:val="single" w:sz="8" w:space="0" w:color="000000"/>
              <w:right w:val="single" w:sz="8" w:space="0" w:color="auto"/>
            </w:tcBorders>
            <w:shd w:val="clear" w:color="auto" w:fill="auto"/>
            <w:hideMark/>
          </w:tcPr>
          <w:p w14:paraId="2F8C58B7"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Executing Entity and NEMC and local community engagement </w:t>
            </w:r>
          </w:p>
        </w:tc>
        <w:tc>
          <w:tcPr>
            <w:tcW w:w="1110" w:type="dxa"/>
            <w:vMerge w:val="restart"/>
            <w:tcBorders>
              <w:top w:val="nil"/>
              <w:left w:val="single" w:sz="8" w:space="0" w:color="auto"/>
              <w:bottom w:val="single" w:sz="8" w:space="0" w:color="000000"/>
              <w:right w:val="single" w:sz="8" w:space="0" w:color="auto"/>
            </w:tcBorders>
            <w:shd w:val="clear" w:color="auto" w:fill="auto"/>
            <w:hideMark/>
          </w:tcPr>
          <w:p w14:paraId="3634413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AF budget</w:t>
            </w:r>
          </w:p>
        </w:tc>
        <w:tc>
          <w:tcPr>
            <w:tcW w:w="1167" w:type="dxa"/>
            <w:vMerge w:val="restart"/>
            <w:tcBorders>
              <w:top w:val="nil"/>
              <w:left w:val="single" w:sz="8" w:space="0" w:color="auto"/>
              <w:bottom w:val="single" w:sz="8" w:space="0" w:color="000000"/>
              <w:right w:val="single" w:sz="8" w:space="0" w:color="auto"/>
            </w:tcBorders>
            <w:shd w:val="clear" w:color="auto" w:fill="auto"/>
            <w:hideMark/>
          </w:tcPr>
          <w:p w14:paraId="0DB7BC6C" w14:textId="617C4E9B"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Willingness to participate certain activities depending </w:t>
            </w:r>
            <w:r w:rsidRPr="00020CFB">
              <w:rPr>
                <w:rFonts w:ascii="Calibri" w:eastAsia="Times New Roman" w:hAnsi="Calibri" w:cs="Calibri"/>
                <w:color w:val="000000"/>
                <w:sz w:val="18"/>
                <w:szCs w:val="18"/>
                <w:lang w:val="en-US" w:eastAsia="en-GB"/>
              </w:rPr>
              <w:lastRenderedPageBreak/>
              <w:t xml:space="preserve">on behavioral resistance. Mitigation measure is awareness creation, capacity building and more  time is needed for behavioral change </w:t>
            </w:r>
          </w:p>
        </w:tc>
        <w:tc>
          <w:tcPr>
            <w:tcW w:w="1256" w:type="dxa"/>
            <w:vMerge w:val="restart"/>
            <w:tcBorders>
              <w:top w:val="nil"/>
              <w:left w:val="single" w:sz="8" w:space="0" w:color="auto"/>
              <w:bottom w:val="single" w:sz="8" w:space="0" w:color="000000"/>
              <w:right w:val="single" w:sz="8" w:space="0" w:color="auto"/>
            </w:tcBorders>
            <w:shd w:val="clear" w:color="auto" w:fill="auto"/>
            <w:hideMark/>
          </w:tcPr>
          <w:p w14:paraId="5CC426FE" w14:textId="2DA0962A"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Number of individuals from  gender/social groups participate in </w:t>
            </w:r>
            <w:r w:rsidRPr="00020CFB">
              <w:rPr>
                <w:rFonts w:ascii="Calibri" w:eastAsia="Times New Roman" w:hAnsi="Calibri" w:cs="Calibri"/>
                <w:color w:val="000000"/>
                <w:sz w:val="18"/>
                <w:szCs w:val="18"/>
                <w:lang w:val="en-US" w:eastAsia="en-GB"/>
              </w:rPr>
              <w:lastRenderedPageBreak/>
              <w:t xml:space="preserve">different project interventions </w:t>
            </w:r>
          </w:p>
        </w:tc>
        <w:tc>
          <w:tcPr>
            <w:tcW w:w="1396" w:type="dxa"/>
            <w:vMerge w:val="restart"/>
            <w:tcBorders>
              <w:top w:val="nil"/>
              <w:left w:val="single" w:sz="8" w:space="0" w:color="auto"/>
              <w:bottom w:val="single" w:sz="8" w:space="0" w:color="000000"/>
              <w:right w:val="single" w:sz="8" w:space="0" w:color="auto"/>
            </w:tcBorders>
            <w:shd w:val="clear" w:color="auto" w:fill="auto"/>
            <w:hideMark/>
          </w:tcPr>
          <w:p w14:paraId="6C18BB1B" w14:textId="6332F240"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Community and local leaders engagement in all stages of mitigation or resolution </w:t>
            </w:r>
          </w:p>
        </w:tc>
      </w:tr>
      <w:tr w:rsidR="00020CFB" w:rsidRPr="00020CFB" w14:paraId="47D365B7" w14:textId="77777777" w:rsidTr="00020CFB">
        <w:trPr>
          <w:trHeight w:val="7960"/>
        </w:trPr>
        <w:tc>
          <w:tcPr>
            <w:tcW w:w="1397" w:type="dxa"/>
            <w:tcBorders>
              <w:top w:val="nil"/>
              <w:left w:val="single" w:sz="8" w:space="0" w:color="auto"/>
              <w:bottom w:val="nil"/>
              <w:right w:val="single" w:sz="8" w:space="0" w:color="auto"/>
            </w:tcBorders>
            <w:shd w:val="clear" w:color="auto" w:fill="auto"/>
            <w:hideMark/>
          </w:tcPr>
          <w:p w14:paraId="6258C404"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Some project activities seemed to have not been inclusive across all gender groups as committed in the project document. </w:t>
            </w:r>
          </w:p>
        </w:tc>
        <w:tc>
          <w:tcPr>
            <w:tcW w:w="1548" w:type="dxa"/>
            <w:tcBorders>
              <w:top w:val="nil"/>
              <w:left w:val="nil"/>
              <w:bottom w:val="nil"/>
              <w:right w:val="single" w:sz="8" w:space="0" w:color="auto"/>
            </w:tcBorders>
            <w:shd w:val="clear" w:color="auto" w:fill="auto"/>
            <w:hideMark/>
          </w:tcPr>
          <w:p w14:paraId="0264C3EB"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Gender participation, the project has involved participation of all gender groups men, women and Youths in all project activities in all sites observing their social cultural values. For example, bee hives installation on trees we are introducing modern bee keeping system that will not involve mounting bee hives on trees where women and all gender groups can seamlessly participate as income generation.</w:t>
            </w:r>
          </w:p>
        </w:tc>
        <w:tc>
          <w:tcPr>
            <w:tcW w:w="1736" w:type="dxa"/>
            <w:vMerge/>
            <w:tcBorders>
              <w:top w:val="nil"/>
              <w:left w:val="single" w:sz="8" w:space="0" w:color="auto"/>
              <w:bottom w:val="single" w:sz="8" w:space="0" w:color="000000"/>
              <w:right w:val="single" w:sz="8" w:space="0" w:color="auto"/>
            </w:tcBorders>
            <w:hideMark/>
          </w:tcPr>
          <w:p w14:paraId="6EBCC883"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nil"/>
              <w:right w:val="single" w:sz="8" w:space="0" w:color="auto"/>
            </w:tcBorders>
            <w:shd w:val="clear" w:color="auto" w:fill="auto"/>
            <w:hideMark/>
          </w:tcPr>
          <w:p w14:paraId="5B6547FF"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230" w:type="dxa"/>
            <w:vMerge/>
            <w:tcBorders>
              <w:top w:val="nil"/>
              <w:left w:val="single" w:sz="8" w:space="0" w:color="auto"/>
              <w:bottom w:val="single" w:sz="8" w:space="0" w:color="000000"/>
              <w:right w:val="single" w:sz="8" w:space="0" w:color="auto"/>
            </w:tcBorders>
            <w:hideMark/>
          </w:tcPr>
          <w:p w14:paraId="5787DC86"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1223E72F"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0668BC23"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7B0637D2"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38985A77"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035842B4" w14:textId="77777777" w:rsidTr="00020CFB">
        <w:trPr>
          <w:trHeight w:val="3020"/>
        </w:trPr>
        <w:tc>
          <w:tcPr>
            <w:tcW w:w="1397" w:type="dxa"/>
            <w:tcBorders>
              <w:top w:val="nil"/>
              <w:left w:val="single" w:sz="8" w:space="0" w:color="auto"/>
              <w:bottom w:val="single" w:sz="8" w:space="0" w:color="auto"/>
              <w:right w:val="single" w:sz="8" w:space="0" w:color="auto"/>
            </w:tcBorders>
            <w:shd w:val="clear" w:color="auto" w:fill="auto"/>
            <w:hideMark/>
          </w:tcPr>
          <w:p w14:paraId="44F1B33A"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w:t>
            </w:r>
          </w:p>
        </w:tc>
        <w:tc>
          <w:tcPr>
            <w:tcW w:w="1548" w:type="dxa"/>
            <w:tcBorders>
              <w:top w:val="nil"/>
              <w:left w:val="nil"/>
              <w:bottom w:val="single" w:sz="8" w:space="0" w:color="auto"/>
              <w:right w:val="single" w:sz="8" w:space="0" w:color="auto"/>
            </w:tcBorders>
            <w:shd w:val="clear" w:color="auto" w:fill="auto"/>
            <w:hideMark/>
          </w:tcPr>
          <w:p w14:paraId="07759D87"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736" w:type="dxa"/>
            <w:vMerge/>
            <w:tcBorders>
              <w:top w:val="nil"/>
              <w:left w:val="single" w:sz="8" w:space="0" w:color="auto"/>
              <w:bottom w:val="single" w:sz="8" w:space="0" w:color="000000"/>
              <w:right w:val="single" w:sz="8" w:space="0" w:color="auto"/>
            </w:tcBorders>
            <w:hideMark/>
          </w:tcPr>
          <w:p w14:paraId="4628F545"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single" w:sz="8" w:space="0" w:color="auto"/>
              <w:right w:val="single" w:sz="8" w:space="0" w:color="auto"/>
            </w:tcBorders>
            <w:shd w:val="clear" w:color="auto" w:fill="auto"/>
            <w:hideMark/>
          </w:tcPr>
          <w:p w14:paraId="2C563EDF" w14:textId="0BB16D6E" w:rsidR="00020CFB" w:rsidRPr="00020CFB" w:rsidRDefault="00020CFB" w:rsidP="00020CFB">
            <w:pPr>
              <w:rPr>
                <w:rFonts w:ascii="Calibri" w:eastAsia="Times New Roman" w:hAnsi="Calibri" w:cs="Calibri"/>
                <w:color w:val="000000"/>
                <w:sz w:val="18"/>
                <w:szCs w:val="18"/>
                <w:lang w:eastAsia="en-GB"/>
              </w:rPr>
            </w:pPr>
          </w:p>
        </w:tc>
        <w:tc>
          <w:tcPr>
            <w:tcW w:w="1230" w:type="dxa"/>
            <w:vMerge/>
            <w:tcBorders>
              <w:top w:val="nil"/>
              <w:left w:val="single" w:sz="8" w:space="0" w:color="auto"/>
              <w:bottom w:val="single" w:sz="8" w:space="0" w:color="000000"/>
              <w:right w:val="single" w:sz="8" w:space="0" w:color="auto"/>
            </w:tcBorders>
            <w:hideMark/>
          </w:tcPr>
          <w:p w14:paraId="03B6AC95"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1207931E"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47A3A836"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6C78EFF0"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7699BF99"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6B2C283A" w14:textId="77777777" w:rsidTr="00020CFB">
        <w:trPr>
          <w:trHeight w:val="7120"/>
        </w:trPr>
        <w:tc>
          <w:tcPr>
            <w:tcW w:w="1397" w:type="dxa"/>
            <w:vMerge w:val="restart"/>
            <w:tcBorders>
              <w:top w:val="nil"/>
              <w:left w:val="single" w:sz="8" w:space="0" w:color="auto"/>
              <w:bottom w:val="single" w:sz="8" w:space="0" w:color="000000"/>
              <w:right w:val="single" w:sz="8" w:space="0" w:color="auto"/>
            </w:tcBorders>
            <w:shd w:val="clear" w:color="auto" w:fill="auto"/>
            <w:hideMark/>
          </w:tcPr>
          <w:p w14:paraId="61147C1D"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Resolving women needs for income generation project from the dam</w:t>
            </w:r>
          </w:p>
        </w:tc>
        <w:tc>
          <w:tcPr>
            <w:tcW w:w="1548" w:type="dxa"/>
            <w:tcBorders>
              <w:top w:val="nil"/>
              <w:left w:val="nil"/>
              <w:bottom w:val="nil"/>
              <w:right w:val="single" w:sz="8" w:space="0" w:color="auto"/>
            </w:tcBorders>
            <w:shd w:val="clear" w:color="auto" w:fill="auto"/>
            <w:hideMark/>
          </w:tcPr>
          <w:p w14:paraId="69EA5B72" w14:textId="79093BAD"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Initially, women were involved in tree nursery management and were paid as casual labor constituting income generation and capacity building activity. After harvesting of tree nurseries, alternative income has to be planned for this group. To resolve this will involve empowering women on vegetable production, bee keeping and fish farming at the dam </w:t>
            </w:r>
          </w:p>
        </w:tc>
        <w:tc>
          <w:tcPr>
            <w:tcW w:w="1736" w:type="dxa"/>
            <w:vMerge w:val="restart"/>
            <w:tcBorders>
              <w:top w:val="nil"/>
              <w:left w:val="single" w:sz="8" w:space="0" w:color="auto"/>
              <w:bottom w:val="single" w:sz="8" w:space="0" w:color="000000"/>
              <w:right w:val="single" w:sz="8" w:space="0" w:color="auto"/>
            </w:tcBorders>
            <w:shd w:val="clear" w:color="auto" w:fill="auto"/>
            <w:hideMark/>
          </w:tcPr>
          <w:p w14:paraId="5EC3085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Ongoing/throughout the project life span</w:t>
            </w:r>
          </w:p>
        </w:tc>
        <w:tc>
          <w:tcPr>
            <w:tcW w:w="1503" w:type="dxa"/>
            <w:tcBorders>
              <w:top w:val="nil"/>
              <w:left w:val="nil"/>
              <w:bottom w:val="nil"/>
              <w:right w:val="single" w:sz="8" w:space="0" w:color="auto"/>
            </w:tcBorders>
            <w:shd w:val="clear" w:color="auto" w:fill="auto"/>
            <w:hideMark/>
          </w:tcPr>
          <w:p w14:paraId="7B24E3D3"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On going</w:t>
            </w:r>
          </w:p>
        </w:tc>
        <w:tc>
          <w:tcPr>
            <w:tcW w:w="1230" w:type="dxa"/>
            <w:vMerge w:val="restart"/>
            <w:tcBorders>
              <w:top w:val="nil"/>
              <w:left w:val="single" w:sz="8" w:space="0" w:color="auto"/>
              <w:bottom w:val="single" w:sz="8" w:space="0" w:color="000000"/>
              <w:right w:val="single" w:sz="8" w:space="0" w:color="auto"/>
            </w:tcBorders>
            <w:shd w:val="clear" w:color="auto" w:fill="auto"/>
            <w:hideMark/>
          </w:tcPr>
          <w:p w14:paraId="51450226" w14:textId="2F870F56"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Executing Entity and NEMC and local community engagement Involvement of women and other youth groups in needs of the intervention for income generation</w:t>
            </w:r>
          </w:p>
        </w:tc>
        <w:tc>
          <w:tcPr>
            <w:tcW w:w="1110" w:type="dxa"/>
            <w:vMerge w:val="restart"/>
            <w:tcBorders>
              <w:top w:val="nil"/>
              <w:left w:val="single" w:sz="8" w:space="0" w:color="auto"/>
              <w:bottom w:val="single" w:sz="8" w:space="0" w:color="000000"/>
              <w:right w:val="single" w:sz="8" w:space="0" w:color="auto"/>
            </w:tcBorders>
            <w:shd w:val="clear" w:color="auto" w:fill="auto"/>
            <w:hideMark/>
          </w:tcPr>
          <w:p w14:paraId="5F70463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AF budget</w:t>
            </w:r>
          </w:p>
        </w:tc>
        <w:tc>
          <w:tcPr>
            <w:tcW w:w="1167" w:type="dxa"/>
            <w:vMerge w:val="restart"/>
            <w:tcBorders>
              <w:top w:val="nil"/>
              <w:left w:val="single" w:sz="8" w:space="0" w:color="auto"/>
              <w:bottom w:val="single" w:sz="8" w:space="0" w:color="000000"/>
              <w:right w:val="single" w:sz="8" w:space="0" w:color="auto"/>
            </w:tcBorders>
            <w:shd w:val="clear" w:color="auto" w:fill="auto"/>
            <w:hideMark/>
          </w:tcPr>
          <w:p w14:paraId="71439B93" w14:textId="477FA54D"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Confl</w:t>
            </w:r>
            <w:r>
              <w:rPr>
                <w:rFonts w:ascii="Calibri" w:eastAsia="Times New Roman" w:hAnsi="Calibri" w:cs="Calibri"/>
                <w:color w:val="000000"/>
                <w:sz w:val="18"/>
                <w:szCs w:val="18"/>
                <w:lang w:val="en-US" w:eastAsia="en-GB"/>
              </w:rPr>
              <w:t>i</w:t>
            </w:r>
            <w:r w:rsidRPr="00020CFB">
              <w:rPr>
                <w:rFonts w:ascii="Calibri" w:eastAsia="Times New Roman" w:hAnsi="Calibri" w:cs="Calibri"/>
                <w:color w:val="000000"/>
                <w:sz w:val="18"/>
                <w:szCs w:val="18"/>
                <w:lang w:val="en-US" w:eastAsia="en-GB"/>
              </w:rPr>
              <w:t xml:space="preserve">cting interests among targeted beneficiaries particularly in fish farming and bee keeping in ownership and sharing of benefits.   </w:t>
            </w:r>
            <w:proofErr w:type="gramStart"/>
            <w:r w:rsidRPr="00020CFB">
              <w:rPr>
                <w:rFonts w:ascii="Calibri" w:eastAsia="Times New Roman" w:hAnsi="Calibri" w:cs="Calibri"/>
                <w:color w:val="000000"/>
                <w:sz w:val="18"/>
                <w:szCs w:val="18"/>
                <w:lang w:val="en-US" w:eastAsia="en-GB"/>
              </w:rPr>
              <w:t>Marketing  turbulence</w:t>
            </w:r>
            <w:proofErr w:type="gramEnd"/>
            <w:r w:rsidRPr="00020CFB">
              <w:rPr>
                <w:rFonts w:ascii="Calibri" w:eastAsia="Times New Roman" w:hAnsi="Calibri" w:cs="Calibri"/>
                <w:color w:val="000000"/>
                <w:sz w:val="18"/>
                <w:szCs w:val="18"/>
                <w:lang w:val="en-US" w:eastAsia="en-GB"/>
              </w:rPr>
              <w:t xml:space="preserve"> posing instability in prices. Mitigation Continuous awareness creation and emphasize in participatory decision making process.</w:t>
            </w:r>
          </w:p>
        </w:tc>
        <w:tc>
          <w:tcPr>
            <w:tcW w:w="1256" w:type="dxa"/>
            <w:vMerge w:val="restart"/>
            <w:tcBorders>
              <w:top w:val="nil"/>
              <w:left w:val="single" w:sz="8" w:space="0" w:color="auto"/>
              <w:bottom w:val="single" w:sz="8" w:space="0" w:color="000000"/>
              <w:right w:val="single" w:sz="8" w:space="0" w:color="auto"/>
            </w:tcBorders>
            <w:shd w:val="clear" w:color="auto" w:fill="auto"/>
            <w:hideMark/>
          </w:tcPr>
          <w:p w14:paraId="49B45B8D" w14:textId="2ADD3F58"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Number of women      participate in different project interventions for income generation </w:t>
            </w:r>
          </w:p>
        </w:tc>
        <w:tc>
          <w:tcPr>
            <w:tcW w:w="1396" w:type="dxa"/>
            <w:vMerge w:val="restart"/>
            <w:tcBorders>
              <w:top w:val="nil"/>
              <w:left w:val="single" w:sz="8" w:space="0" w:color="auto"/>
              <w:bottom w:val="single" w:sz="8" w:space="0" w:color="000000"/>
              <w:right w:val="single" w:sz="8" w:space="0" w:color="auto"/>
            </w:tcBorders>
            <w:shd w:val="clear" w:color="auto" w:fill="auto"/>
            <w:hideMark/>
          </w:tcPr>
          <w:p w14:paraId="27290186" w14:textId="4BEF4F65"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 Community and local leaders engagement in all stages of development and implementation of income generating activities</w:t>
            </w:r>
          </w:p>
        </w:tc>
      </w:tr>
      <w:tr w:rsidR="00020CFB" w:rsidRPr="00020CFB" w14:paraId="371B36DD" w14:textId="77777777" w:rsidTr="00020CFB">
        <w:trPr>
          <w:trHeight w:val="2100"/>
        </w:trPr>
        <w:tc>
          <w:tcPr>
            <w:tcW w:w="1397" w:type="dxa"/>
            <w:vMerge/>
            <w:tcBorders>
              <w:top w:val="nil"/>
              <w:left w:val="single" w:sz="8" w:space="0" w:color="auto"/>
              <w:bottom w:val="single" w:sz="8" w:space="0" w:color="000000"/>
              <w:right w:val="single" w:sz="8" w:space="0" w:color="auto"/>
            </w:tcBorders>
            <w:hideMark/>
          </w:tcPr>
          <w:p w14:paraId="3D0B36DF" w14:textId="77777777" w:rsidR="00020CFB" w:rsidRPr="00020CFB" w:rsidRDefault="00020CFB" w:rsidP="00020CFB">
            <w:pPr>
              <w:rPr>
                <w:rFonts w:ascii="Calibri" w:eastAsia="Times New Roman" w:hAnsi="Calibri" w:cs="Calibri"/>
                <w:color w:val="000000"/>
                <w:sz w:val="18"/>
                <w:szCs w:val="18"/>
                <w:lang w:eastAsia="en-GB"/>
              </w:rPr>
            </w:pPr>
          </w:p>
        </w:tc>
        <w:tc>
          <w:tcPr>
            <w:tcW w:w="1548" w:type="dxa"/>
            <w:tcBorders>
              <w:top w:val="nil"/>
              <w:left w:val="nil"/>
              <w:bottom w:val="nil"/>
              <w:right w:val="single" w:sz="8" w:space="0" w:color="auto"/>
            </w:tcBorders>
            <w:shd w:val="clear" w:color="auto" w:fill="auto"/>
            <w:hideMark/>
          </w:tcPr>
          <w:p w14:paraId="7244ED9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In addition, women are involved in poultry keeping, therefore income for this target group will be restored.</w:t>
            </w:r>
          </w:p>
        </w:tc>
        <w:tc>
          <w:tcPr>
            <w:tcW w:w="1736" w:type="dxa"/>
            <w:vMerge/>
            <w:tcBorders>
              <w:top w:val="nil"/>
              <w:left w:val="single" w:sz="8" w:space="0" w:color="auto"/>
              <w:bottom w:val="single" w:sz="8" w:space="0" w:color="000000"/>
              <w:right w:val="single" w:sz="8" w:space="0" w:color="auto"/>
            </w:tcBorders>
            <w:hideMark/>
          </w:tcPr>
          <w:p w14:paraId="595AA45F"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nil"/>
              <w:right w:val="single" w:sz="8" w:space="0" w:color="auto"/>
            </w:tcBorders>
            <w:shd w:val="clear" w:color="auto" w:fill="auto"/>
            <w:hideMark/>
          </w:tcPr>
          <w:p w14:paraId="0560C27B" w14:textId="517E4C68"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Garden for vegetables, Bee keeping, poultry production, and fish farming. Bee hive will be distributed this July and fish fingerlings will be installed this July 2024</w:t>
            </w:r>
          </w:p>
        </w:tc>
        <w:tc>
          <w:tcPr>
            <w:tcW w:w="1230" w:type="dxa"/>
            <w:vMerge/>
            <w:tcBorders>
              <w:top w:val="nil"/>
              <w:left w:val="single" w:sz="8" w:space="0" w:color="auto"/>
              <w:bottom w:val="single" w:sz="8" w:space="0" w:color="000000"/>
              <w:right w:val="single" w:sz="8" w:space="0" w:color="auto"/>
            </w:tcBorders>
            <w:hideMark/>
          </w:tcPr>
          <w:p w14:paraId="6C11A6B9"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7C35F054"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3C51C0B9"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275B5CF0"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770933F5"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1311AC5F" w14:textId="77777777" w:rsidTr="00020CFB">
        <w:trPr>
          <w:trHeight w:val="3920"/>
        </w:trPr>
        <w:tc>
          <w:tcPr>
            <w:tcW w:w="1397" w:type="dxa"/>
            <w:vMerge/>
            <w:tcBorders>
              <w:top w:val="nil"/>
              <w:left w:val="single" w:sz="8" w:space="0" w:color="auto"/>
              <w:bottom w:val="single" w:sz="8" w:space="0" w:color="000000"/>
              <w:right w:val="single" w:sz="8" w:space="0" w:color="auto"/>
            </w:tcBorders>
            <w:hideMark/>
          </w:tcPr>
          <w:p w14:paraId="72BEDC12" w14:textId="77777777" w:rsidR="00020CFB" w:rsidRPr="00020CFB" w:rsidRDefault="00020CFB" w:rsidP="00020CFB">
            <w:pPr>
              <w:rPr>
                <w:rFonts w:ascii="Calibri" w:eastAsia="Times New Roman" w:hAnsi="Calibri" w:cs="Calibri"/>
                <w:color w:val="000000"/>
                <w:sz w:val="18"/>
                <w:szCs w:val="18"/>
                <w:lang w:eastAsia="en-GB"/>
              </w:rPr>
            </w:pPr>
          </w:p>
        </w:tc>
        <w:tc>
          <w:tcPr>
            <w:tcW w:w="1548" w:type="dxa"/>
            <w:tcBorders>
              <w:top w:val="nil"/>
              <w:left w:val="nil"/>
              <w:bottom w:val="single" w:sz="8" w:space="0" w:color="auto"/>
              <w:right w:val="single" w:sz="8" w:space="0" w:color="auto"/>
            </w:tcBorders>
            <w:shd w:val="clear" w:color="auto" w:fill="auto"/>
            <w:hideMark/>
          </w:tcPr>
          <w:p w14:paraId="1F0D90A8"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736" w:type="dxa"/>
            <w:vMerge/>
            <w:tcBorders>
              <w:top w:val="nil"/>
              <w:left w:val="single" w:sz="8" w:space="0" w:color="auto"/>
              <w:bottom w:val="single" w:sz="8" w:space="0" w:color="000000"/>
              <w:right w:val="single" w:sz="8" w:space="0" w:color="auto"/>
            </w:tcBorders>
            <w:hideMark/>
          </w:tcPr>
          <w:p w14:paraId="66734915"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single" w:sz="8" w:space="0" w:color="auto"/>
              <w:right w:val="single" w:sz="8" w:space="0" w:color="auto"/>
            </w:tcBorders>
            <w:shd w:val="clear" w:color="auto" w:fill="auto"/>
            <w:hideMark/>
          </w:tcPr>
          <w:p w14:paraId="6FC7927A" w14:textId="48ADE02F"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w:t>
            </w:r>
          </w:p>
        </w:tc>
        <w:tc>
          <w:tcPr>
            <w:tcW w:w="1230" w:type="dxa"/>
            <w:vMerge/>
            <w:tcBorders>
              <w:top w:val="nil"/>
              <w:left w:val="single" w:sz="8" w:space="0" w:color="auto"/>
              <w:bottom w:val="single" w:sz="8" w:space="0" w:color="000000"/>
              <w:right w:val="single" w:sz="8" w:space="0" w:color="auto"/>
            </w:tcBorders>
            <w:hideMark/>
          </w:tcPr>
          <w:p w14:paraId="564B4915"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213F80B9"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1C3A07BC"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7947788E"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45E8E7CE"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4EF8CA0D" w14:textId="77777777" w:rsidTr="00020CFB">
        <w:trPr>
          <w:trHeight w:val="1500"/>
        </w:trPr>
        <w:tc>
          <w:tcPr>
            <w:tcW w:w="1397" w:type="dxa"/>
            <w:tcBorders>
              <w:top w:val="nil"/>
              <w:left w:val="single" w:sz="8" w:space="0" w:color="auto"/>
              <w:bottom w:val="nil"/>
              <w:right w:val="single" w:sz="8" w:space="0" w:color="auto"/>
            </w:tcBorders>
            <w:shd w:val="clear" w:color="auto" w:fill="auto"/>
            <w:hideMark/>
          </w:tcPr>
          <w:p w14:paraId="4B7FC406"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Reducing child burden to watering of trees at school.</w:t>
            </w:r>
          </w:p>
        </w:tc>
        <w:tc>
          <w:tcPr>
            <w:tcW w:w="1548" w:type="dxa"/>
            <w:vMerge w:val="restart"/>
            <w:tcBorders>
              <w:top w:val="nil"/>
              <w:left w:val="single" w:sz="8" w:space="0" w:color="auto"/>
              <w:bottom w:val="single" w:sz="8" w:space="0" w:color="000000"/>
              <w:right w:val="single" w:sz="8" w:space="0" w:color="auto"/>
            </w:tcBorders>
            <w:shd w:val="clear" w:color="auto" w:fill="auto"/>
            <w:hideMark/>
          </w:tcPr>
          <w:p w14:paraId="7F8FED7F"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Installation of water storage tanks and pipes at </w:t>
            </w:r>
            <w:proofErr w:type="spellStart"/>
            <w:r w:rsidRPr="00020CFB">
              <w:rPr>
                <w:rFonts w:ascii="Calibri" w:eastAsia="Times New Roman" w:hAnsi="Calibri" w:cs="Calibri"/>
                <w:color w:val="000000"/>
                <w:sz w:val="18"/>
                <w:szCs w:val="18"/>
                <w:lang w:val="en-US" w:eastAsia="en-GB"/>
              </w:rPr>
              <w:t>Mpamaa</w:t>
            </w:r>
            <w:proofErr w:type="spellEnd"/>
            <w:r w:rsidRPr="00020CFB">
              <w:rPr>
                <w:rFonts w:ascii="Calibri" w:eastAsia="Times New Roman" w:hAnsi="Calibri" w:cs="Calibri"/>
                <w:color w:val="000000"/>
                <w:sz w:val="18"/>
                <w:szCs w:val="18"/>
                <w:lang w:val="en-US" w:eastAsia="en-GB"/>
              </w:rPr>
              <w:t xml:space="preserve"> Secondary School is in place. </w:t>
            </w:r>
            <w:r w:rsidRPr="00020CFB">
              <w:rPr>
                <w:rFonts w:ascii="Calibri" w:eastAsia="Times New Roman" w:hAnsi="Calibri" w:cs="Calibri"/>
                <w:color w:val="000000"/>
                <w:sz w:val="18"/>
                <w:szCs w:val="18"/>
                <w:lang w:val="en-US" w:eastAsia="en-GB"/>
              </w:rPr>
              <w:lastRenderedPageBreak/>
              <w:t>Students can now get water at school for trees and other purposes.</w:t>
            </w:r>
          </w:p>
        </w:tc>
        <w:tc>
          <w:tcPr>
            <w:tcW w:w="1736" w:type="dxa"/>
            <w:vMerge w:val="restart"/>
            <w:tcBorders>
              <w:top w:val="nil"/>
              <w:left w:val="single" w:sz="8" w:space="0" w:color="auto"/>
              <w:bottom w:val="single" w:sz="8" w:space="0" w:color="000000"/>
              <w:right w:val="single" w:sz="8" w:space="0" w:color="auto"/>
            </w:tcBorders>
            <w:shd w:val="clear" w:color="auto" w:fill="auto"/>
            <w:hideMark/>
          </w:tcPr>
          <w:p w14:paraId="4F9720BD"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Completed June 2024</w:t>
            </w:r>
          </w:p>
        </w:tc>
        <w:tc>
          <w:tcPr>
            <w:tcW w:w="1503" w:type="dxa"/>
            <w:tcBorders>
              <w:top w:val="nil"/>
              <w:left w:val="nil"/>
              <w:bottom w:val="nil"/>
              <w:right w:val="single" w:sz="8" w:space="0" w:color="auto"/>
            </w:tcBorders>
            <w:shd w:val="clear" w:color="auto" w:fill="auto"/>
            <w:hideMark/>
          </w:tcPr>
          <w:p w14:paraId="73CFD96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Completed</w:t>
            </w:r>
          </w:p>
        </w:tc>
        <w:tc>
          <w:tcPr>
            <w:tcW w:w="1230" w:type="dxa"/>
            <w:vMerge w:val="restart"/>
            <w:tcBorders>
              <w:top w:val="nil"/>
              <w:left w:val="single" w:sz="8" w:space="0" w:color="auto"/>
              <w:bottom w:val="single" w:sz="8" w:space="0" w:color="000000"/>
              <w:right w:val="single" w:sz="8" w:space="0" w:color="auto"/>
            </w:tcBorders>
            <w:shd w:val="clear" w:color="auto" w:fill="auto"/>
            <w:hideMark/>
          </w:tcPr>
          <w:p w14:paraId="07D385E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Executing Entity and NEMC and local community engagement </w:t>
            </w:r>
          </w:p>
        </w:tc>
        <w:tc>
          <w:tcPr>
            <w:tcW w:w="1110" w:type="dxa"/>
            <w:vMerge w:val="restart"/>
            <w:tcBorders>
              <w:top w:val="nil"/>
              <w:left w:val="single" w:sz="8" w:space="0" w:color="auto"/>
              <w:bottom w:val="single" w:sz="8" w:space="0" w:color="000000"/>
              <w:right w:val="single" w:sz="8" w:space="0" w:color="auto"/>
            </w:tcBorders>
            <w:shd w:val="clear" w:color="auto" w:fill="auto"/>
            <w:hideMark/>
          </w:tcPr>
          <w:p w14:paraId="58C5C2B7"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AF budget</w:t>
            </w:r>
          </w:p>
        </w:tc>
        <w:tc>
          <w:tcPr>
            <w:tcW w:w="1167" w:type="dxa"/>
            <w:vMerge w:val="restart"/>
            <w:tcBorders>
              <w:top w:val="nil"/>
              <w:left w:val="single" w:sz="8" w:space="0" w:color="auto"/>
              <w:bottom w:val="single" w:sz="8" w:space="0" w:color="000000"/>
              <w:right w:val="single" w:sz="8" w:space="0" w:color="auto"/>
            </w:tcBorders>
            <w:shd w:val="clear" w:color="auto" w:fill="auto"/>
            <w:hideMark/>
          </w:tcPr>
          <w:p w14:paraId="35CBDCB8" w14:textId="021007F2"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Water supply rationing from the district </w:t>
            </w:r>
            <w:r w:rsidRPr="00020CFB">
              <w:rPr>
                <w:rFonts w:ascii="Calibri" w:eastAsia="Times New Roman" w:hAnsi="Calibri" w:cs="Calibri"/>
                <w:color w:val="000000"/>
                <w:sz w:val="18"/>
                <w:szCs w:val="18"/>
                <w:lang w:val="en-US" w:eastAsia="en-GB"/>
              </w:rPr>
              <w:lastRenderedPageBreak/>
              <w:t>water authority</w:t>
            </w:r>
          </w:p>
        </w:tc>
        <w:tc>
          <w:tcPr>
            <w:tcW w:w="1256" w:type="dxa"/>
            <w:vMerge w:val="restart"/>
            <w:tcBorders>
              <w:top w:val="nil"/>
              <w:left w:val="single" w:sz="8" w:space="0" w:color="auto"/>
              <w:bottom w:val="single" w:sz="8" w:space="0" w:color="000000"/>
              <w:right w:val="single" w:sz="8" w:space="0" w:color="auto"/>
            </w:tcBorders>
            <w:shd w:val="clear" w:color="auto" w:fill="auto"/>
            <w:hideMark/>
          </w:tcPr>
          <w:p w14:paraId="68DF4A7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Water tank installed, Water pipes and put in place and utilization of </w:t>
            </w:r>
            <w:r w:rsidRPr="00020CFB">
              <w:rPr>
                <w:rFonts w:ascii="Calibri" w:eastAsia="Times New Roman" w:hAnsi="Calibri" w:cs="Calibri"/>
                <w:color w:val="000000"/>
                <w:sz w:val="18"/>
                <w:szCs w:val="18"/>
                <w:lang w:val="en-US" w:eastAsia="en-GB"/>
              </w:rPr>
              <w:lastRenderedPageBreak/>
              <w:t>water for vegetable and trees maintenance</w:t>
            </w:r>
          </w:p>
        </w:tc>
        <w:tc>
          <w:tcPr>
            <w:tcW w:w="1396" w:type="dxa"/>
            <w:vMerge w:val="restart"/>
            <w:tcBorders>
              <w:top w:val="nil"/>
              <w:left w:val="single" w:sz="8" w:space="0" w:color="auto"/>
              <w:bottom w:val="single" w:sz="8" w:space="0" w:color="000000"/>
              <w:right w:val="single" w:sz="8" w:space="0" w:color="auto"/>
            </w:tcBorders>
            <w:shd w:val="clear" w:color="auto" w:fill="auto"/>
            <w:hideMark/>
          </w:tcPr>
          <w:p w14:paraId="5937DBD1" w14:textId="3ABE6273"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 xml:space="preserve">Engagement of </w:t>
            </w:r>
            <w:r>
              <w:rPr>
                <w:rFonts w:ascii="Calibri" w:eastAsia="Times New Roman" w:hAnsi="Calibri" w:cs="Calibri"/>
                <w:color w:val="000000"/>
                <w:sz w:val="18"/>
                <w:szCs w:val="18"/>
                <w:lang w:val="en-US" w:eastAsia="en-GB"/>
              </w:rPr>
              <w:t>local</w:t>
            </w:r>
            <w:r w:rsidRPr="00020CFB">
              <w:rPr>
                <w:rFonts w:ascii="Calibri" w:eastAsia="Times New Roman" w:hAnsi="Calibri" w:cs="Calibri"/>
                <w:color w:val="000000"/>
                <w:sz w:val="18"/>
                <w:szCs w:val="18"/>
                <w:lang w:val="en-US" w:eastAsia="en-GB"/>
              </w:rPr>
              <w:t xml:space="preserve"> leaders, village  communities, leaders and </w:t>
            </w:r>
            <w:r>
              <w:rPr>
                <w:rFonts w:ascii="Calibri" w:eastAsia="Times New Roman" w:hAnsi="Calibri" w:cs="Calibri"/>
                <w:color w:val="000000"/>
                <w:sz w:val="18"/>
                <w:szCs w:val="18"/>
                <w:lang w:val="en-US" w:eastAsia="en-GB"/>
              </w:rPr>
              <w:lastRenderedPageBreak/>
              <w:t>school</w:t>
            </w:r>
            <w:r w:rsidRPr="00020CFB">
              <w:rPr>
                <w:rFonts w:ascii="Calibri" w:eastAsia="Times New Roman" w:hAnsi="Calibri" w:cs="Calibri"/>
                <w:color w:val="000000"/>
                <w:sz w:val="18"/>
                <w:szCs w:val="18"/>
                <w:lang w:val="en-US" w:eastAsia="en-GB"/>
              </w:rPr>
              <w:t xml:space="preserve"> leadership</w:t>
            </w:r>
          </w:p>
        </w:tc>
      </w:tr>
      <w:tr w:rsidR="00020CFB" w:rsidRPr="00020CFB" w14:paraId="438AAA8E" w14:textId="77777777" w:rsidTr="00020CFB">
        <w:trPr>
          <w:trHeight w:val="2700"/>
        </w:trPr>
        <w:tc>
          <w:tcPr>
            <w:tcW w:w="1397" w:type="dxa"/>
            <w:tcBorders>
              <w:top w:val="nil"/>
              <w:left w:val="single" w:sz="8" w:space="0" w:color="auto"/>
              <w:bottom w:val="nil"/>
              <w:right w:val="single" w:sz="8" w:space="0" w:color="auto"/>
            </w:tcBorders>
            <w:shd w:val="clear" w:color="auto" w:fill="auto"/>
            <w:hideMark/>
          </w:tcPr>
          <w:p w14:paraId="055A4677"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lastRenderedPageBreak/>
              <w:t>The children had to travel long distance to fetch water for watering trees introduced by the project at school</w:t>
            </w:r>
          </w:p>
        </w:tc>
        <w:tc>
          <w:tcPr>
            <w:tcW w:w="1548" w:type="dxa"/>
            <w:vMerge/>
            <w:tcBorders>
              <w:top w:val="nil"/>
              <w:left w:val="single" w:sz="8" w:space="0" w:color="auto"/>
              <w:bottom w:val="single" w:sz="8" w:space="0" w:color="000000"/>
              <w:right w:val="single" w:sz="8" w:space="0" w:color="auto"/>
            </w:tcBorders>
            <w:hideMark/>
          </w:tcPr>
          <w:p w14:paraId="734DEACA" w14:textId="77777777" w:rsidR="00020CFB" w:rsidRPr="00020CFB" w:rsidRDefault="00020CFB" w:rsidP="00020CFB">
            <w:pPr>
              <w:rPr>
                <w:rFonts w:ascii="Calibri" w:eastAsia="Times New Roman" w:hAnsi="Calibri" w:cs="Calibri"/>
                <w:color w:val="000000"/>
                <w:sz w:val="18"/>
                <w:szCs w:val="18"/>
                <w:lang w:eastAsia="en-GB"/>
              </w:rPr>
            </w:pPr>
          </w:p>
        </w:tc>
        <w:tc>
          <w:tcPr>
            <w:tcW w:w="1736" w:type="dxa"/>
            <w:vMerge/>
            <w:tcBorders>
              <w:top w:val="nil"/>
              <w:left w:val="single" w:sz="8" w:space="0" w:color="auto"/>
              <w:bottom w:val="single" w:sz="8" w:space="0" w:color="000000"/>
              <w:right w:val="single" w:sz="8" w:space="0" w:color="auto"/>
            </w:tcBorders>
            <w:hideMark/>
          </w:tcPr>
          <w:p w14:paraId="0F3543FE"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nil"/>
              <w:right w:val="single" w:sz="8" w:space="0" w:color="auto"/>
            </w:tcBorders>
            <w:shd w:val="clear" w:color="auto" w:fill="auto"/>
            <w:hideMark/>
          </w:tcPr>
          <w:p w14:paraId="097E1D73"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Installed and delivered Water tank Poly pipes, and plumbing accessories has been done and is operational</w:t>
            </w:r>
          </w:p>
        </w:tc>
        <w:tc>
          <w:tcPr>
            <w:tcW w:w="1230" w:type="dxa"/>
            <w:vMerge/>
            <w:tcBorders>
              <w:top w:val="nil"/>
              <w:left w:val="single" w:sz="8" w:space="0" w:color="auto"/>
              <w:bottom w:val="single" w:sz="8" w:space="0" w:color="000000"/>
              <w:right w:val="single" w:sz="8" w:space="0" w:color="auto"/>
            </w:tcBorders>
            <w:hideMark/>
          </w:tcPr>
          <w:p w14:paraId="463C84C4"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1ABE31B1"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0D8508A7"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43A9AEBB"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5FA12163"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33A1AE0F" w14:textId="77777777" w:rsidTr="00020CFB">
        <w:trPr>
          <w:trHeight w:val="340"/>
        </w:trPr>
        <w:tc>
          <w:tcPr>
            <w:tcW w:w="1397" w:type="dxa"/>
            <w:tcBorders>
              <w:top w:val="nil"/>
              <w:left w:val="single" w:sz="8" w:space="0" w:color="auto"/>
              <w:bottom w:val="single" w:sz="8" w:space="0" w:color="auto"/>
              <w:right w:val="single" w:sz="8" w:space="0" w:color="auto"/>
            </w:tcBorders>
            <w:shd w:val="clear" w:color="auto" w:fill="auto"/>
            <w:hideMark/>
          </w:tcPr>
          <w:p w14:paraId="46BBE7E5"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548" w:type="dxa"/>
            <w:vMerge/>
            <w:tcBorders>
              <w:top w:val="nil"/>
              <w:left w:val="single" w:sz="8" w:space="0" w:color="auto"/>
              <w:bottom w:val="single" w:sz="8" w:space="0" w:color="000000"/>
              <w:right w:val="single" w:sz="8" w:space="0" w:color="auto"/>
            </w:tcBorders>
            <w:hideMark/>
          </w:tcPr>
          <w:p w14:paraId="31BC258B" w14:textId="77777777" w:rsidR="00020CFB" w:rsidRPr="00020CFB" w:rsidRDefault="00020CFB" w:rsidP="00020CFB">
            <w:pPr>
              <w:rPr>
                <w:rFonts w:ascii="Calibri" w:eastAsia="Times New Roman" w:hAnsi="Calibri" w:cs="Calibri"/>
                <w:color w:val="000000"/>
                <w:sz w:val="18"/>
                <w:szCs w:val="18"/>
                <w:lang w:eastAsia="en-GB"/>
              </w:rPr>
            </w:pPr>
          </w:p>
        </w:tc>
        <w:tc>
          <w:tcPr>
            <w:tcW w:w="1736" w:type="dxa"/>
            <w:vMerge/>
            <w:tcBorders>
              <w:top w:val="nil"/>
              <w:left w:val="single" w:sz="8" w:space="0" w:color="auto"/>
              <w:bottom w:val="single" w:sz="8" w:space="0" w:color="000000"/>
              <w:right w:val="single" w:sz="8" w:space="0" w:color="auto"/>
            </w:tcBorders>
            <w:hideMark/>
          </w:tcPr>
          <w:p w14:paraId="19F907CF"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tcBorders>
              <w:top w:val="nil"/>
              <w:left w:val="nil"/>
              <w:bottom w:val="single" w:sz="8" w:space="0" w:color="auto"/>
              <w:right w:val="single" w:sz="8" w:space="0" w:color="auto"/>
            </w:tcBorders>
            <w:shd w:val="clear" w:color="auto" w:fill="auto"/>
            <w:hideMark/>
          </w:tcPr>
          <w:p w14:paraId="01AD6087"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w:t>
            </w:r>
          </w:p>
        </w:tc>
        <w:tc>
          <w:tcPr>
            <w:tcW w:w="1230" w:type="dxa"/>
            <w:vMerge/>
            <w:tcBorders>
              <w:top w:val="nil"/>
              <w:left w:val="single" w:sz="8" w:space="0" w:color="auto"/>
              <w:bottom w:val="single" w:sz="8" w:space="0" w:color="000000"/>
              <w:right w:val="single" w:sz="8" w:space="0" w:color="auto"/>
            </w:tcBorders>
            <w:hideMark/>
          </w:tcPr>
          <w:p w14:paraId="735CC3BA"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48CDA89D"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14CA6B20"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347C672B"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238EAD79" w14:textId="77777777" w:rsidR="00020CFB" w:rsidRPr="00020CFB" w:rsidRDefault="00020CFB" w:rsidP="00020CFB">
            <w:pPr>
              <w:rPr>
                <w:rFonts w:ascii="Calibri" w:eastAsia="Times New Roman" w:hAnsi="Calibri" w:cs="Calibri"/>
                <w:color w:val="000000"/>
                <w:sz w:val="18"/>
                <w:szCs w:val="18"/>
                <w:lang w:eastAsia="en-GB"/>
              </w:rPr>
            </w:pPr>
          </w:p>
        </w:tc>
      </w:tr>
      <w:tr w:rsidR="00020CFB" w:rsidRPr="00020CFB" w14:paraId="1130F81C" w14:textId="77777777" w:rsidTr="00020CFB">
        <w:trPr>
          <w:trHeight w:val="3860"/>
        </w:trPr>
        <w:tc>
          <w:tcPr>
            <w:tcW w:w="1397" w:type="dxa"/>
            <w:vMerge w:val="restart"/>
            <w:tcBorders>
              <w:top w:val="nil"/>
              <w:left w:val="single" w:sz="8" w:space="0" w:color="auto"/>
              <w:bottom w:val="single" w:sz="8" w:space="0" w:color="000000"/>
              <w:right w:val="single" w:sz="8" w:space="0" w:color="auto"/>
            </w:tcBorders>
            <w:shd w:val="clear" w:color="auto" w:fill="auto"/>
            <w:hideMark/>
          </w:tcPr>
          <w:p w14:paraId="65FF639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The solar panels and pump at </w:t>
            </w:r>
            <w:proofErr w:type="spellStart"/>
            <w:r w:rsidRPr="00020CFB">
              <w:rPr>
                <w:rFonts w:ascii="Calibri" w:eastAsia="Times New Roman" w:hAnsi="Calibri" w:cs="Calibri"/>
                <w:color w:val="000000"/>
                <w:sz w:val="18"/>
                <w:szCs w:val="18"/>
                <w:lang w:val="en-US" w:eastAsia="en-GB"/>
              </w:rPr>
              <w:t>Mkwese</w:t>
            </w:r>
            <w:proofErr w:type="spellEnd"/>
            <w:r w:rsidRPr="00020CFB">
              <w:rPr>
                <w:rFonts w:ascii="Calibri" w:eastAsia="Times New Roman" w:hAnsi="Calibri" w:cs="Calibri"/>
                <w:color w:val="000000"/>
                <w:sz w:val="18"/>
                <w:szCs w:val="18"/>
                <w:lang w:val="en-US" w:eastAsia="en-GB"/>
              </w:rPr>
              <w:t xml:space="preserve"> dam were assumed to have been located at an area which can be inundated during heavy rains. So, relocation to a safer location was suggested.</w:t>
            </w:r>
          </w:p>
        </w:tc>
        <w:tc>
          <w:tcPr>
            <w:tcW w:w="1548" w:type="dxa"/>
            <w:vMerge w:val="restart"/>
            <w:tcBorders>
              <w:top w:val="nil"/>
              <w:left w:val="single" w:sz="8" w:space="0" w:color="auto"/>
              <w:bottom w:val="single" w:sz="8" w:space="0" w:color="000000"/>
              <w:right w:val="single" w:sz="8" w:space="0" w:color="auto"/>
            </w:tcBorders>
            <w:shd w:val="clear" w:color="auto" w:fill="auto"/>
            <w:hideMark/>
          </w:tcPr>
          <w:p w14:paraId="119BCAC2"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The Solar panel will be relocated to the upper part of the dam to avoid risk of inundation. </w:t>
            </w:r>
          </w:p>
        </w:tc>
        <w:tc>
          <w:tcPr>
            <w:tcW w:w="1736" w:type="dxa"/>
            <w:vMerge w:val="restart"/>
            <w:tcBorders>
              <w:top w:val="nil"/>
              <w:left w:val="single" w:sz="8" w:space="0" w:color="auto"/>
              <w:bottom w:val="single" w:sz="8" w:space="0" w:color="000000"/>
              <w:right w:val="single" w:sz="8" w:space="0" w:color="auto"/>
            </w:tcBorders>
            <w:shd w:val="clear" w:color="auto" w:fill="auto"/>
            <w:hideMark/>
          </w:tcPr>
          <w:p w14:paraId="20BE2B7A"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To be completed by end of August 2024</w:t>
            </w:r>
          </w:p>
        </w:tc>
        <w:tc>
          <w:tcPr>
            <w:tcW w:w="1503" w:type="dxa"/>
            <w:vMerge w:val="restart"/>
            <w:tcBorders>
              <w:top w:val="nil"/>
              <w:left w:val="single" w:sz="8" w:space="0" w:color="auto"/>
              <w:bottom w:val="single" w:sz="8" w:space="0" w:color="000000"/>
              <w:right w:val="single" w:sz="8" w:space="0" w:color="auto"/>
            </w:tcBorders>
            <w:shd w:val="clear" w:color="auto" w:fill="auto"/>
            <w:hideMark/>
          </w:tcPr>
          <w:p w14:paraId="3A96A73C"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On going </w:t>
            </w:r>
          </w:p>
        </w:tc>
        <w:tc>
          <w:tcPr>
            <w:tcW w:w="1230" w:type="dxa"/>
            <w:vMerge w:val="restart"/>
            <w:tcBorders>
              <w:top w:val="nil"/>
              <w:left w:val="single" w:sz="8" w:space="0" w:color="auto"/>
              <w:bottom w:val="single" w:sz="8" w:space="0" w:color="000000"/>
              <w:right w:val="single" w:sz="8" w:space="0" w:color="auto"/>
            </w:tcBorders>
            <w:shd w:val="clear" w:color="auto" w:fill="auto"/>
            <w:hideMark/>
          </w:tcPr>
          <w:p w14:paraId="409A805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110" w:type="dxa"/>
            <w:vMerge w:val="restart"/>
            <w:tcBorders>
              <w:top w:val="nil"/>
              <w:left w:val="single" w:sz="8" w:space="0" w:color="auto"/>
              <w:bottom w:val="single" w:sz="8" w:space="0" w:color="000000"/>
              <w:right w:val="single" w:sz="8" w:space="0" w:color="auto"/>
            </w:tcBorders>
            <w:shd w:val="clear" w:color="auto" w:fill="auto"/>
            <w:hideMark/>
          </w:tcPr>
          <w:p w14:paraId="02395CE6"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w:t>
            </w:r>
          </w:p>
        </w:tc>
        <w:tc>
          <w:tcPr>
            <w:tcW w:w="1167" w:type="dxa"/>
            <w:vMerge w:val="restart"/>
            <w:tcBorders>
              <w:top w:val="nil"/>
              <w:left w:val="single" w:sz="8" w:space="0" w:color="auto"/>
              <w:bottom w:val="single" w:sz="8" w:space="0" w:color="000000"/>
              <w:right w:val="single" w:sz="8" w:space="0" w:color="auto"/>
            </w:tcBorders>
            <w:shd w:val="clear" w:color="auto" w:fill="auto"/>
            <w:hideMark/>
          </w:tcPr>
          <w:p w14:paraId="6DADA33E"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Vandalism from villagers Continued monitoring and awareness creation to the community</w:t>
            </w:r>
          </w:p>
        </w:tc>
        <w:tc>
          <w:tcPr>
            <w:tcW w:w="1256" w:type="dxa"/>
            <w:vMerge w:val="restart"/>
            <w:tcBorders>
              <w:top w:val="nil"/>
              <w:left w:val="single" w:sz="8" w:space="0" w:color="auto"/>
              <w:bottom w:val="single" w:sz="8" w:space="0" w:color="000000"/>
              <w:right w:val="single" w:sz="8" w:space="0" w:color="auto"/>
            </w:tcBorders>
            <w:shd w:val="clear" w:color="auto" w:fill="auto"/>
            <w:hideMark/>
          </w:tcPr>
          <w:p w14:paraId="395C6A80" w14:textId="77777777"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eastAsia="en-GB"/>
              </w:rPr>
              <w:t xml:space="preserve">Power supply in low risk position </w:t>
            </w:r>
          </w:p>
        </w:tc>
        <w:tc>
          <w:tcPr>
            <w:tcW w:w="1396" w:type="dxa"/>
            <w:vMerge w:val="restart"/>
            <w:tcBorders>
              <w:top w:val="nil"/>
              <w:left w:val="single" w:sz="8" w:space="0" w:color="auto"/>
              <w:bottom w:val="single" w:sz="8" w:space="0" w:color="000000"/>
              <w:right w:val="single" w:sz="8" w:space="0" w:color="auto"/>
            </w:tcBorders>
            <w:shd w:val="clear" w:color="auto" w:fill="auto"/>
            <w:hideMark/>
          </w:tcPr>
          <w:p w14:paraId="296E8D56" w14:textId="733B5D9C" w:rsidR="00020CFB" w:rsidRPr="00020CFB" w:rsidRDefault="00020CFB" w:rsidP="00020CFB">
            <w:pPr>
              <w:rPr>
                <w:rFonts w:ascii="Calibri" w:eastAsia="Times New Roman" w:hAnsi="Calibri" w:cs="Calibri"/>
                <w:color w:val="000000"/>
                <w:sz w:val="18"/>
                <w:szCs w:val="18"/>
                <w:lang w:eastAsia="en-GB"/>
              </w:rPr>
            </w:pPr>
            <w:r w:rsidRPr="00020CFB">
              <w:rPr>
                <w:rFonts w:ascii="Calibri" w:eastAsia="Times New Roman" w:hAnsi="Calibri" w:cs="Calibri"/>
                <w:color w:val="000000"/>
                <w:sz w:val="18"/>
                <w:szCs w:val="18"/>
                <w:lang w:val="en-US" w:eastAsia="en-GB"/>
              </w:rPr>
              <w:t xml:space="preserve">Engagement of </w:t>
            </w:r>
            <w:r>
              <w:rPr>
                <w:rFonts w:ascii="Calibri" w:eastAsia="Times New Roman" w:hAnsi="Calibri" w:cs="Calibri"/>
                <w:color w:val="000000"/>
                <w:sz w:val="18"/>
                <w:szCs w:val="18"/>
                <w:lang w:val="en-US" w:eastAsia="en-GB"/>
              </w:rPr>
              <w:t>local</w:t>
            </w:r>
            <w:r w:rsidRPr="00020CFB">
              <w:rPr>
                <w:rFonts w:ascii="Calibri" w:eastAsia="Times New Roman" w:hAnsi="Calibri" w:cs="Calibri"/>
                <w:color w:val="000000"/>
                <w:sz w:val="18"/>
                <w:szCs w:val="18"/>
                <w:lang w:val="en-US" w:eastAsia="en-GB"/>
              </w:rPr>
              <w:t xml:space="preserve"> leaders, village  communities, leaders in installation </w:t>
            </w:r>
          </w:p>
        </w:tc>
      </w:tr>
      <w:tr w:rsidR="00020CFB" w:rsidRPr="00020CFB" w14:paraId="5268F6F4" w14:textId="77777777" w:rsidTr="00020CFB">
        <w:trPr>
          <w:trHeight w:val="340"/>
        </w:trPr>
        <w:tc>
          <w:tcPr>
            <w:tcW w:w="1397" w:type="dxa"/>
            <w:vMerge/>
            <w:tcBorders>
              <w:top w:val="nil"/>
              <w:left w:val="single" w:sz="8" w:space="0" w:color="auto"/>
              <w:bottom w:val="single" w:sz="8" w:space="0" w:color="000000"/>
              <w:right w:val="single" w:sz="8" w:space="0" w:color="auto"/>
            </w:tcBorders>
            <w:hideMark/>
          </w:tcPr>
          <w:p w14:paraId="1F0B6F6A" w14:textId="77777777" w:rsidR="00020CFB" w:rsidRPr="00020CFB" w:rsidRDefault="00020CFB" w:rsidP="00020CFB">
            <w:pPr>
              <w:rPr>
                <w:rFonts w:ascii="Calibri" w:eastAsia="Times New Roman" w:hAnsi="Calibri" w:cs="Calibri"/>
                <w:color w:val="000000"/>
                <w:sz w:val="18"/>
                <w:szCs w:val="18"/>
                <w:lang w:eastAsia="en-GB"/>
              </w:rPr>
            </w:pPr>
          </w:p>
        </w:tc>
        <w:tc>
          <w:tcPr>
            <w:tcW w:w="1548" w:type="dxa"/>
            <w:vMerge/>
            <w:tcBorders>
              <w:top w:val="nil"/>
              <w:left w:val="single" w:sz="8" w:space="0" w:color="auto"/>
              <w:bottom w:val="single" w:sz="8" w:space="0" w:color="000000"/>
              <w:right w:val="single" w:sz="8" w:space="0" w:color="auto"/>
            </w:tcBorders>
            <w:hideMark/>
          </w:tcPr>
          <w:p w14:paraId="14BDE77D" w14:textId="77777777" w:rsidR="00020CFB" w:rsidRPr="00020CFB" w:rsidRDefault="00020CFB" w:rsidP="00020CFB">
            <w:pPr>
              <w:rPr>
                <w:rFonts w:ascii="Calibri" w:eastAsia="Times New Roman" w:hAnsi="Calibri" w:cs="Calibri"/>
                <w:color w:val="000000"/>
                <w:sz w:val="18"/>
                <w:szCs w:val="18"/>
                <w:lang w:eastAsia="en-GB"/>
              </w:rPr>
            </w:pPr>
          </w:p>
        </w:tc>
        <w:tc>
          <w:tcPr>
            <w:tcW w:w="1736" w:type="dxa"/>
            <w:vMerge/>
            <w:tcBorders>
              <w:top w:val="nil"/>
              <w:left w:val="single" w:sz="8" w:space="0" w:color="auto"/>
              <w:bottom w:val="single" w:sz="8" w:space="0" w:color="000000"/>
              <w:right w:val="single" w:sz="8" w:space="0" w:color="auto"/>
            </w:tcBorders>
            <w:hideMark/>
          </w:tcPr>
          <w:p w14:paraId="54665FCE" w14:textId="77777777" w:rsidR="00020CFB" w:rsidRPr="00020CFB" w:rsidRDefault="00020CFB" w:rsidP="00020CFB">
            <w:pPr>
              <w:rPr>
                <w:rFonts w:ascii="Calibri" w:eastAsia="Times New Roman" w:hAnsi="Calibri" w:cs="Calibri"/>
                <w:color w:val="000000"/>
                <w:sz w:val="18"/>
                <w:szCs w:val="18"/>
                <w:lang w:eastAsia="en-GB"/>
              </w:rPr>
            </w:pPr>
          </w:p>
        </w:tc>
        <w:tc>
          <w:tcPr>
            <w:tcW w:w="1503" w:type="dxa"/>
            <w:vMerge/>
            <w:tcBorders>
              <w:top w:val="nil"/>
              <w:left w:val="single" w:sz="8" w:space="0" w:color="auto"/>
              <w:bottom w:val="single" w:sz="8" w:space="0" w:color="000000"/>
              <w:right w:val="single" w:sz="8" w:space="0" w:color="auto"/>
            </w:tcBorders>
            <w:hideMark/>
          </w:tcPr>
          <w:p w14:paraId="767640EB" w14:textId="77777777" w:rsidR="00020CFB" w:rsidRPr="00020CFB" w:rsidRDefault="00020CFB" w:rsidP="00020CFB">
            <w:pPr>
              <w:rPr>
                <w:rFonts w:ascii="Calibri" w:eastAsia="Times New Roman" w:hAnsi="Calibri" w:cs="Calibri"/>
                <w:color w:val="000000"/>
                <w:sz w:val="18"/>
                <w:szCs w:val="18"/>
                <w:lang w:eastAsia="en-GB"/>
              </w:rPr>
            </w:pPr>
          </w:p>
        </w:tc>
        <w:tc>
          <w:tcPr>
            <w:tcW w:w="1230" w:type="dxa"/>
            <w:vMerge/>
            <w:tcBorders>
              <w:top w:val="nil"/>
              <w:left w:val="single" w:sz="8" w:space="0" w:color="auto"/>
              <w:bottom w:val="single" w:sz="8" w:space="0" w:color="000000"/>
              <w:right w:val="single" w:sz="8" w:space="0" w:color="auto"/>
            </w:tcBorders>
            <w:hideMark/>
          </w:tcPr>
          <w:p w14:paraId="31A56478" w14:textId="77777777" w:rsidR="00020CFB" w:rsidRPr="00020CFB" w:rsidRDefault="00020CFB" w:rsidP="00020CFB">
            <w:pPr>
              <w:rPr>
                <w:rFonts w:ascii="Calibri" w:eastAsia="Times New Roman" w:hAnsi="Calibri" w:cs="Calibri"/>
                <w:color w:val="000000"/>
                <w:sz w:val="18"/>
                <w:szCs w:val="18"/>
                <w:lang w:eastAsia="en-GB"/>
              </w:rPr>
            </w:pPr>
          </w:p>
        </w:tc>
        <w:tc>
          <w:tcPr>
            <w:tcW w:w="1110" w:type="dxa"/>
            <w:vMerge/>
            <w:tcBorders>
              <w:top w:val="nil"/>
              <w:left w:val="single" w:sz="8" w:space="0" w:color="auto"/>
              <w:bottom w:val="single" w:sz="8" w:space="0" w:color="000000"/>
              <w:right w:val="single" w:sz="8" w:space="0" w:color="auto"/>
            </w:tcBorders>
            <w:hideMark/>
          </w:tcPr>
          <w:p w14:paraId="310C150E" w14:textId="77777777" w:rsidR="00020CFB" w:rsidRPr="00020CFB" w:rsidRDefault="00020CFB" w:rsidP="00020CFB">
            <w:pPr>
              <w:rPr>
                <w:rFonts w:ascii="Calibri" w:eastAsia="Times New Roman" w:hAnsi="Calibri" w:cs="Calibri"/>
                <w:color w:val="000000"/>
                <w:sz w:val="18"/>
                <w:szCs w:val="18"/>
                <w:lang w:eastAsia="en-GB"/>
              </w:rPr>
            </w:pPr>
          </w:p>
        </w:tc>
        <w:tc>
          <w:tcPr>
            <w:tcW w:w="1167" w:type="dxa"/>
            <w:vMerge/>
            <w:tcBorders>
              <w:top w:val="nil"/>
              <w:left w:val="single" w:sz="8" w:space="0" w:color="auto"/>
              <w:bottom w:val="single" w:sz="8" w:space="0" w:color="000000"/>
              <w:right w:val="single" w:sz="8" w:space="0" w:color="auto"/>
            </w:tcBorders>
            <w:hideMark/>
          </w:tcPr>
          <w:p w14:paraId="37907C2C" w14:textId="77777777" w:rsidR="00020CFB" w:rsidRPr="00020CFB" w:rsidRDefault="00020CFB" w:rsidP="00020CFB">
            <w:pPr>
              <w:rPr>
                <w:rFonts w:ascii="Calibri" w:eastAsia="Times New Roman" w:hAnsi="Calibri" w:cs="Calibri"/>
                <w:color w:val="000000"/>
                <w:sz w:val="18"/>
                <w:szCs w:val="18"/>
                <w:lang w:eastAsia="en-GB"/>
              </w:rPr>
            </w:pPr>
          </w:p>
        </w:tc>
        <w:tc>
          <w:tcPr>
            <w:tcW w:w="1256" w:type="dxa"/>
            <w:vMerge/>
            <w:tcBorders>
              <w:top w:val="nil"/>
              <w:left w:val="single" w:sz="8" w:space="0" w:color="auto"/>
              <w:bottom w:val="single" w:sz="8" w:space="0" w:color="000000"/>
              <w:right w:val="single" w:sz="8" w:space="0" w:color="auto"/>
            </w:tcBorders>
            <w:hideMark/>
          </w:tcPr>
          <w:p w14:paraId="3CF885C4" w14:textId="77777777" w:rsidR="00020CFB" w:rsidRPr="00020CFB" w:rsidRDefault="00020CFB" w:rsidP="00020CFB">
            <w:pPr>
              <w:rPr>
                <w:rFonts w:ascii="Calibri" w:eastAsia="Times New Roman" w:hAnsi="Calibri" w:cs="Calibri"/>
                <w:color w:val="000000"/>
                <w:sz w:val="18"/>
                <w:szCs w:val="18"/>
                <w:lang w:eastAsia="en-GB"/>
              </w:rPr>
            </w:pPr>
          </w:p>
        </w:tc>
        <w:tc>
          <w:tcPr>
            <w:tcW w:w="1396" w:type="dxa"/>
            <w:vMerge/>
            <w:tcBorders>
              <w:top w:val="nil"/>
              <w:left w:val="single" w:sz="8" w:space="0" w:color="auto"/>
              <w:bottom w:val="single" w:sz="8" w:space="0" w:color="000000"/>
              <w:right w:val="single" w:sz="8" w:space="0" w:color="auto"/>
            </w:tcBorders>
            <w:hideMark/>
          </w:tcPr>
          <w:p w14:paraId="25308B9E" w14:textId="77777777" w:rsidR="00020CFB" w:rsidRPr="00020CFB" w:rsidRDefault="00020CFB" w:rsidP="00020CFB">
            <w:pPr>
              <w:rPr>
                <w:rFonts w:ascii="Calibri" w:eastAsia="Times New Roman" w:hAnsi="Calibri" w:cs="Calibri"/>
                <w:color w:val="000000"/>
                <w:sz w:val="18"/>
                <w:szCs w:val="18"/>
                <w:lang w:eastAsia="en-GB"/>
              </w:rPr>
            </w:pPr>
          </w:p>
        </w:tc>
      </w:tr>
    </w:tbl>
    <w:p w14:paraId="7A5D80CA" w14:textId="7022CB6D" w:rsidR="00020CFB" w:rsidRDefault="00020CFB" w:rsidP="00020CFB"/>
    <w:p w14:paraId="01E31328" w14:textId="77777777" w:rsidR="00020CFB" w:rsidRDefault="00020CFB" w:rsidP="00020CFB"/>
    <w:sectPr w:rsidR="00020CFB" w:rsidSect="00020CFB">
      <w:pgSz w:w="18700" w:h="1322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CFB"/>
    <w:rsid w:val="00020CFB"/>
    <w:rsid w:val="00843255"/>
  </w:rsids>
  <m:mathPr>
    <m:mathFont m:val="Cambria Math"/>
    <m:brkBin m:val="before"/>
    <m:brkBinSub m:val="--"/>
    <m:smallFrac m:val="0"/>
    <m:dispDef/>
    <m:lMargin m:val="0"/>
    <m:rMargin m:val="0"/>
    <m:defJc m:val="centerGroup"/>
    <m:wrapIndent m:val="1440"/>
    <m:intLim m:val="subSup"/>
    <m:naryLim m:val="undOvr"/>
  </m:mathPr>
  <w:themeFontLang w:val="aa-E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962CC"/>
  <w15:chartTrackingRefBased/>
  <w15:docId w15:val="{593F5E2C-A7FF-2747-B2EB-CD8B7975B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aa-E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0347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1219</Words>
  <Characters>6953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PMK</dc:creator>
  <cp:keywords/>
  <dc:description/>
  <cp:lastModifiedBy>Microsoft account</cp:lastModifiedBy>
  <cp:revision>2</cp:revision>
  <dcterms:created xsi:type="dcterms:W3CDTF">2025-01-02T16:56:00Z</dcterms:created>
  <dcterms:modified xsi:type="dcterms:W3CDTF">2025-01-02T16:56:00Z</dcterms:modified>
</cp:coreProperties>
</file>